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D1CDE">
      <w:pPr>
        <w:keepNext w:val="0"/>
        <w:keepLines w:val="0"/>
        <w:pageBreakBefore w:val="0"/>
        <w:widowControl w:val="0"/>
        <w:kinsoku/>
        <w:wordWrap/>
        <w:overflowPunct w:val="0"/>
        <w:topLinePunct w:val="0"/>
        <w:autoSpaceDE/>
        <w:autoSpaceDN/>
        <w:bidi w:val="0"/>
        <w:adjustRightInd/>
        <w:snapToGrid/>
        <w:spacing w:line="640" w:lineRule="exact"/>
        <w:textAlignment w:val="auto"/>
        <w:rPr>
          <w:rFonts w:ascii="黑体" w:hAnsi="黑体" w:eastAsia="黑体"/>
          <w:szCs w:val="32"/>
        </w:rPr>
      </w:pPr>
      <w:r>
        <w:rPr>
          <w:rFonts w:hint="eastAsia" w:ascii="黑体" w:hAnsi="黑体" w:eastAsia="黑体"/>
          <w:szCs w:val="32"/>
        </w:rPr>
        <w:t>附件1</w:t>
      </w:r>
    </w:p>
    <w:p w14:paraId="73CF6548">
      <w:pPr>
        <w:keepNext w:val="0"/>
        <w:keepLines w:val="0"/>
        <w:pageBreakBefore w:val="0"/>
        <w:widowControl w:val="0"/>
        <w:kinsoku/>
        <w:wordWrap/>
        <w:overflowPunct w:val="0"/>
        <w:topLinePunct w:val="0"/>
        <w:autoSpaceDE/>
        <w:autoSpaceDN/>
        <w:bidi w:val="0"/>
        <w:adjustRightInd/>
        <w:snapToGrid/>
        <w:spacing w:line="640" w:lineRule="exact"/>
        <w:textAlignment w:val="auto"/>
        <w:rPr>
          <w:rFonts w:ascii="仿宋_GB2312" w:hAnsi="宋体"/>
          <w:szCs w:val="32"/>
        </w:rPr>
      </w:pPr>
      <w:r>
        <w:rPr>
          <w:rFonts w:hint="eastAsia" w:ascii="仿宋_GB2312" w:hAnsi="宋体"/>
          <w:szCs w:val="32"/>
        </w:rPr>
        <w:t xml:space="preserve"> </w:t>
      </w:r>
    </w:p>
    <w:p w14:paraId="4DEA2E97">
      <w:pPr>
        <w:keepNext w:val="0"/>
        <w:keepLines w:val="0"/>
        <w:pageBreakBefore w:val="0"/>
        <w:widowControl w:val="0"/>
        <w:kinsoku/>
        <w:wordWrap/>
        <w:overflowPunct w:val="0"/>
        <w:topLinePunct w:val="0"/>
        <w:autoSpaceDE/>
        <w:autoSpaceDN/>
        <w:bidi w:val="0"/>
        <w:adjustRightInd/>
        <w:snapToGrid/>
        <w:spacing w:line="640" w:lineRule="exact"/>
        <w:jc w:val="center"/>
        <w:textAlignment w:val="auto"/>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材料报送及填报要求</w:t>
      </w:r>
    </w:p>
    <w:p w14:paraId="4122E3CE">
      <w:pPr>
        <w:overflowPunct w:val="0"/>
        <w:adjustRightInd w:val="0"/>
        <w:snapToGrid w:val="0"/>
        <w:spacing w:line="560" w:lineRule="atLeast"/>
        <w:ind w:firstLine="658" w:firstLineChars="200"/>
        <w:outlineLvl w:val="0"/>
        <w:rPr>
          <w:rFonts w:ascii="黑体" w:hAnsi="黑体" w:eastAsia="黑体"/>
          <w:szCs w:val="32"/>
        </w:rPr>
      </w:pPr>
      <w:r>
        <w:rPr>
          <w:rFonts w:hint="eastAsia" w:ascii="黑体" w:hAnsi="黑体" w:eastAsia="黑体"/>
          <w:szCs w:val="32"/>
        </w:rPr>
        <w:t xml:space="preserve"> </w:t>
      </w:r>
    </w:p>
    <w:p w14:paraId="791496F0">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outlineLvl w:val="0"/>
        <w:rPr>
          <w:rFonts w:eastAsia="黑体"/>
          <w:szCs w:val="32"/>
        </w:rPr>
      </w:pPr>
      <w:r>
        <w:rPr>
          <w:rFonts w:hint="eastAsia" w:ascii="黑体" w:hAnsi="黑体" w:eastAsia="黑体"/>
          <w:szCs w:val="32"/>
        </w:rPr>
        <w:t>一、单位注册</w:t>
      </w:r>
    </w:p>
    <w:p w14:paraId="415F77FF">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rPr>
          <w:rFonts w:ascii="仿宋_GB2312"/>
          <w:szCs w:val="32"/>
        </w:rPr>
      </w:pPr>
      <w:r>
        <w:rPr>
          <w:rFonts w:hint="eastAsia" w:ascii="仿宋_GB2312"/>
          <w:szCs w:val="32"/>
        </w:rPr>
        <w:t>“单位名称”为申报人员工作单位法定全称，与“单位意见”中的单位公章一致，不得填写简称、别称，不得填写内部处（科）室或非独立法人二级单位或上级主管单位。</w:t>
      </w:r>
    </w:p>
    <w:p w14:paraId="3F2DE67B">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rPr>
          <w:rFonts w:ascii="黑体" w:hAnsi="黑体" w:eastAsia="黑体"/>
          <w:szCs w:val="32"/>
        </w:rPr>
      </w:pPr>
      <w:r>
        <w:rPr>
          <w:rFonts w:hint="eastAsia" w:ascii="黑体" w:hAnsi="黑体" w:eastAsia="黑体"/>
          <w:szCs w:val="32"/>
        </w:rPr>
        <w:t>二、个人注册</w:t>
      </w:r>
    </w:p>
    <w:p w14:paraId="3E2243D3">
      <w:pPr>
        <w:keepNext w:val="0"/>
        <w:keepLines w:val="0"/>
        <w:pageBreakBefore w:val="0"/>
        <w:widowControl/>
        <w:shd w:val="clear" w:color="auto" w:fill="FFFFFF"/>
        <w:kinsoku/>
        <w:wordWrap/>
        <w:topLinePunct w:val="0"/>
        <w:autoSpaceDE/>
        <w:autoSpaceDN/>
        <w:bidi w:val="0"/>
        <w:spacing w:line="600" w:lineRule="exact"/>
        <w:ind w:firstLine="658" w:firstLineChars="200"/>
        <w:jc w:val="both"/>
        <w:textAlignment w:val="auto"/>
        <w:rPr>
          <w:rFonts w:ascii="微软雅黑" w:hAnsi="微软雅黑" w:eastAsia="微软雅黑" w:cs="宋体"/>
          <w:color w:val="333333"/>
          <w:kern w:val="0"/>
          <w:szCs w:val="21"/>
        </w:rPr>
      </w:pPr>
      <w:r>
        <w:rPr>
          <w:rFonts w:hint="eastAsia" w:ascii="仿宋_GB2312" w:hAnsi="微软雅黑" w:cs="宋体"/>
          <w:color w:val="333333"/>
          <w:kern w:val="0"/>
          <w:szCs w:val="32"/>
        </w:rPr>
        <w:t>1.“出生日期”以身份证出生日期为准，如与档案出生日期不一致，可在“档案出生日期”处上传证明进行修改。</w:t>
      </w:r>
    </w:p>
    <w:p w14:paraId="038D1ABA">
      <w:pPr>
        <w:keepNext w:val="0"/>
        <w:keepLines w:val="0"/>
        <w:pageBreakBefore w:val="0"/>
        <w:widowControl/>
        <w:shd w:val="clear" w:color="auto" w:fill="FFFFFF"/>
        <w:kinsoku/>
        <w:wordWrap/>
        <w:topLinePunct w:val="0"/>
        <w:autoSpaceDE/>
        <w:autoSpaceDN/>
        <w:bidi w:val="0"/>
        <w:spacing w:line="600" w:lineRule="exact"/>
        <w:ind w:firstLine="658" w:firstLineChars="200"/>
        <w:jc w:val="both"/>
        <w:textAlignment w:val="auto"/>
        <w:rPr>
          <w:rFonts w:ascii="微软雅黑" w:hAnsi="微软雅黑" w:eastAsia="微软雅黑" w:cs="宋体"/>
          <w:color w:val="333333"/>
          <w:kern w:val="0"/>
          <w:szCs w:val="21"/>
        </w:rPr>
      </w:pPr>
      <w:r>
        <w:rPr>
          <w:rFonts w:hint="eastAsia" w:ascii="仿宋_GB2312" w:hAnsi="微软雅黑" w:cs="宋体"/>
          <w:color w:val="333333"/>
          <w:kern w:val="0"/>
          <w:szCs w:val="32"/>
        </w:rPr>
        <w:t>2.社保信息可点击“获取社保缴费信息”自动提取。如未提取成功，可自行录入信息并上传社保缴费证明。</w:t>
      </w:r>
    </w:p>
    <w:p w14:paraId="4CFE093B">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rPr>
          <w:rFonts w:ascii="黑体" w:hAnsi="黑体" w:eastAsia="黑体"/>
          <w:szCs w:val="32"/>
        </w:rPr>
      </w:pPr>
      <w:r>
        <w:rPr>
          <w:rFonts w:hint="eastAsia" w:ascii="黑体" w:hAnsi="黑体" w:eastAsia="黑体"/>
          <w:szCs w:val="32"/>
        </w:rPr>
        <w:t>三、申报信息</w:t>
      </w:r>
    </w:p>
    <w:p w14:paraId="5D6AF545">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rPr>
          <w:rFonts w:ascii="仿宋_GB2312"/>
          <w:szCs w:val="32"/>
        </w:rPr>
      </w:pPr>
      <w:r>
        <w:rPr>
          <w:rFonts w:hint="eastAsia" w:ascii="仿宋_GB2312"/>
          <w:szCs w:val="32"/>
        </w:rPr>
        <w:t>“单位推荐排序”由各单位自行确定是否排序，不作统一要求。</w:t>
      </w:r>
    </w:p>
    <w:p w14:paraId="6C401923">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rPr>
          <w:rFonts w:ascii="黑体" w:hAnsi="黑体" w:eastAsia="黑体"/>
          <w:szCs w:val="32"/>
        </w:rPr>
      </w:pPr>
      <w:r>
        <w:rPr>
          <w:rFonts w:hint="eastAsia" w:ascii="黑体" w:hAnsi="黑体" w:eastAsia="黑体"/>
          <w:szCs w:val="32"/>
        </w:rPr>
        <w:t>四、学历信息</w:t>
      </w:r>
    </w:p>
    <w:p w14:paraId="4B693AC3">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rPr>
          <w:rFonts w:ascii="仿宋_GB2312"/>
          <w:szCs w:val="32"/>
        </w:rPr>
      </w:pPr>
      <w:r>
        <w:rPr>
          <w:rFonts w:hint="eastAsia" w:ascii="仿宋_GB2312"/>
          <w:szCs w:val="32"/>
        </w:rPr>
        <w:t>1.全日制学历信息从全国会计人员统一服务管理平台中提取。</w:t>
      </w:r>
    </w:p>
    <w:p w14:paraId="2DF74698">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rPr>
          <w:rFonts w:ascii="仿宋_GB2312"/>
          <w:szCs w:val="32"/>
        </w:rPr>
      </w:pPr>
      <w:r>
        <w:rPr>
          <w:rFonts w:hint="eastAsia" w:ascii="仿宋_GB2312"/>
          <w:szCs w:val="32"/>
        </w:rPr>
        <w:t>2.“评审依据学历”指参评本年度高级会计师所依据的学历。全日制学历与依据学历可为同一学历，也可不同。1993—1997年入学并取得“山东省干部教育验印专用章”验印的学业证书，选择“省业余大学”。</w:t>
      </w:r>
    </w:p>
    <w:p w14:paraId="45FA3641">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rPr>
          <w:rFonts w:ascii="黑体" w:hAnsi="黑体" w:eastAsia="黑体"/>
          <w:szCs w:val="32"/>
        </w:rPr>
      </w:pPr>
      <w:r>
        <w:rPr>
          <w:rFonts w:hint="eastAsia" w:ascii="黑体" w:hAnsi="黑体" w:eastAsia="黑体"/>
          <w:szCs w:val="32"/>
        </w:rPr>
        <w:t>五、现专业技术职称、职业资格</w:t>
      </w:r>
    </w:p>
    <w:p w14:paraId="5945AFDF">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rPr>
          <w:rFonts w:ascii="仿宋_GB2312"/>
          <w:szCs w:val="32"/>
        </w:rPr>
      </w:pPr>
      <w:r>
        <w:rPr>
          <w:rFonts w:hint="eastAsia" w:ascii="仿宋_GB2312"/>
          <w:szCs w:val="32"/>
        </w:rPr>
        <w:t>1.现专业技术职称、职业资格从全国会计人员统一服务管理平台中提取。如未提取成功，可自行填写。</w:t>
      </w:r>
    </w:p>
    <w:p w14:paraId="470429F0">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rPr>
          <w:rFonts w:ascii="仿宋_GB2312"/>
          <w:szCs w:val="32"/>
        </w:rPr>
      </w:pPr>
      <w:r>
        <w:rPr>
          <w:rFonts w:hint="eastAsia" w:ascii="仿宋_GB2312"/>
          <w:szCs w:val="32"/>
        </w:rPr>
        <w:t>2.“聘任时间”填写第一次受聘现专业技术职称的时间，需上传正规岗位聘用表或聘文、聘书等。</w:t>
      </w:r>
    </w:p>
    <w:p w14:paraId="357E77D6">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rPr>
          <w:rFonts w:ascii="黑体" w:hAnsi="黑体" w:eastAsia="黑体"/>
          <w:szCs w:val="32"/>
        </w:rPr>
      </w:pPr>
      <w:r>
        <w:rPr>
          <w:rFonts w:hint="eastAsia" w:ascii="黑体" w:hAnsi="黑体" w:eastAsia="黑体"/>
          <w:szCs w:val="32"/>
        </w:rPr>
        <w:t>六、现任（含兼任）行政职务</w:t>
      </w:r>
    </w:p>
    <w:p w14:paraId="681EDC6D">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rPr>
          <w:rFonts w:ascii="仿宋_GB2312"/>
          <w:szCs w:val="32"/>
        </w:rPr>
      </w:pPr>
      <w:r>
        <w:rPr>
          <w:rFonts w:hint="eastAsia" w:ascii="仿宋_GB2312"/>
          <w:szCs w:val="32"/>
        </w:rPr>
        <w:t>“现任（含兼任）行政职务”与任职单位一致，填报正式文件任命的行政职务，并在申报系统中上传正式任命文件原件或会议纪要原件的扫描件。</w:t>
      </w:r>
    </w:p>
    <w:p w14:paraId="49F5D5C0">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rPr>
          <w:rFonts w:ascii="黑体" w:hAnsi="黑体" w:eastAsia="黑体"/>
          <w:szCs w:val="32"/>
        </w:rPr>
      </w:pPr>
      <w:r>
        <w:rPr>
          <w:rFonts w:hint="eastAsia" w:ascii="黑体" w:hAnsi="黑体" w:eastAsia="黑体"/>
          <w:szCs w:val="32"/>
        </w:rPr>
        <w:t>七、任现职以来考核情况信息</w:t>
      </w:r>
    </w:p>
    <w:p w14:paraId="6C922ACF">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rPr>
          <w:rFonts w:ascii="仿宋_GB2312"/>
          <w:szCs w:val="32"/>
        </w:rPr>
      </w:pPr>
      <w:r>
        <w:rPr>
          <w:rFonts w:hint="eastAsia" w:ascii="仿宋_GB2312"/>
          <w:szCs w:val="32"/>
        </w:rPr>
        <w:t>填写取得中级专业技术职称后近5年的考核情况，应按实际考核确定的等次填写，并在申报系统中上传正式的单位考核表。</w:t>
      </w:r>
    </w:p>
    <w:p w14:paraId="5A1F4DA8">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rPr>
          <w:rFonts w:ascii="黑体" w:hAnsi="黑体" w:eastAsia="黑体"/>
          <w:szCs w:val="32"/>
        </w:rPr>
      </w:pPr>
      <w:r>
        <w:rPr>
          <w:rFonts w:hint="eastAsia" w:ascii="黑体" w:hAnsi="黑体" w:eastAsia="黑体"/>
          <w:szCs w:val="32"/>
        </w:rPr>
        <w:t>八、近五年学习培训及继续教育经历</w:t>
      </w:r>
    </w:p>
    <w:p w14:paraId="0269FB3F">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rPr>
          <w:rFonts w:ascii="仿宋_GB2312"/>
          <w:szCs w:val="32"/>
        </w:rPr>
      </w:pPr>
      <w:r>
        <w:rPr>
          <w:rFonts w:hint="eastAsia" w:ascii="仿宋_GB2312"/>
          <w:szCs w:val="32"/>
        </w:rPr>
        <w:t>1.专业科目的继续教育情况从全国会计人员统一服务管理平台中提取；自申报年度起，往前数5个连续年度的继续教育情况不得缺失。各年度继续教育只保留一条记录（多余删除）。</w:t>
      </w:r>
    </w:p>
    <w:p w14:paraId="29FDC977">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rPr>
          <w:rFonts w:ascii="仿宋_GB2312"/>
          <w:szCs w:val="32"/>
        </w:rPr>
      </w:pPr>
      <w:r>
        <w:rPr>
          <w:rFonts w:hint="eastAsia" w:ascii="仿宋_GB2312"/>
          <w:szCs w:val="32"/>
        </w:rPr>
        <w:t>2.公需科目的继续教育情况自行填写，并上传山东省专业技术人员继续教育公共服务平台的学习记录作为附件。</w:t>
      </w:r>
    </w:p>
    <w:p w14:paraId="0571A7B6">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rPr>
          <w:rFonts w:ascii="仿宋_GB2312"/>
          <w:szCs w:val="32"/>
        </w:rPr>
      </w:pPr>
      <w:r>
        <w:rPr>
          <w:rFonts w:hint="eastAsia" w:ascii="仿宋_GB2312"/>
          <w:szCs w:val="32"/>
        </w:rPr>
        <w:t>3.继续教育需填写总学分。</w:t>
      </w:r>
    </w:p>
    <w:p w14:paraId="378A316B">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rPr>
          <w:rFonts w:ascii="黑体" w:hAnsi="黑体" w:eastAsia="黑体"/>
          <w:szCs w:val="32"/>
        </w:rPr>
      </w:pPr>
      <w:r>
        <w:rPr>
          <w:rFonts w:hint="eastAsia" w:ascii="黑体" w:hAnsi="黑体" w:eastAsia="黑体"/>
          <w:szCs w:val="32"/>
        </w:rPr>
        <w:t>九、任现职以来取得的代表性成果</w:t>
      </w:r>
    </w:p>
    <w:p w14:paraId="410FB1D5">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rPr>
          <w:rFonts w:ascii="仿宋_GB2312"/>
          <w:szCs w:val="32"/>
        </w:rPr>
      </w:pPr>
      <w:r>
        <w:rPr>
          <w:rFonts w:hint="eastAsia" w:ascii="仿宋_GB2312"/>
          <w:szCs w:val="32"/>
        </w:rPr>
        <w:t>填写受聘现职以来取得的代表性成果包括获奖、课题、专利、论文著作和其他等5类，共限填15条。各项内容必须符合《标准条件》中规定的标准内容，禁止填报不符合条件的内容，填报时要严格分类填写，避免出现各类内容混填的情况。</w:t>
      </w:r>
    </w:p>
    <w:p w14:paraId="5F9CBE8D">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rPr>
          <w:rFonts w:ascii="仿宋_GB2312"/>
          <w:szCs w:val="32"/>
        </w:rPr>
      </w:pPr>
      <w:r>
        <w:rPr>
          <w:rFonts w:hint="eastAsia" w:ascii="仿宋_GB2312"/>
          <w:szCs w:val="32"/>
        </w:rPr>
        <w:t>1.受奖情况填写代表个人工作能力和业绩的奖项，参考《标准条件》中的第六条（业绩与成果），“时间”填写证书落款时间。“位次”填写：成果、受奖等系个人独立完成的填写“1/1”；与他人合作完成的，如：申报人为第1位完成人，系3人合作完成的，填写1/3，为第2位的，填2/3，依此类推。奖项需上传获奖项目具体内容，不得仅上传证书。</w:t>
      </w:r>
    </w:p>
    <w:p w14:paraId="22AD8DD5">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rPr>
          <w:rFonts w:ascii="仿宋_GB2312"/>
          <w:szCs w:val="32"/>
        </w:rPr>
      </w:pPr>
      <w:r>
        <w:rPr>
          <w:rFonts w:hint="eastAsia" w:ascii="仿宋_GB2312"/>
          <w:szCs w:val="32"/>
        </w:rPr>
        <w:t>2.课题需与会计工作相关，要有课题主要内容和立</w:t>
      </w:r>
      <w:r>
        <w:rPr>
          <w:rFonts w:hint="eastAsia" w:ascii="仿宋_GB2312"/>
          <w:color w:val="333333"/>
          <w:szCs w:val="32"/>
          <w:shd w:val="clear" w:color="auto" w:fill="FFFFFF"/>
        </w:rPr>
        <w:t>项</w:t>
      </w:r>
      <w:r>
        <w:rPr>
          <w:rFonts w:hint="eastAsia" w:ascii="仿宋_GB2312"/>
          <w:szCs w:val="32"/>
        </w:rPr>
        <w:t>、结项证明。</w:t>
      </w:r>
    </w:p>
    <w:p w14:paraId="28F807F3">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rPr>
          <w:rFonts w:ascii="仿宋_GB2312"/>
          <w:szCs w:val="32"/>
        </w:rPr>
      </w:pPr>
      <w:r>
        <w:rPr>
          <w:rFonts w:hint="eastAsia" w:ascii="仿宋_GB2312"/>
          <w:szCs w:val="32"/>
        </w:rPr>
        <w:t>3.专利需为会计相关的专利，不含转让的专利。</w:t>
      </w:r>
    </w:p>
    <w:p w14:paraId="787826FE">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rPr>
          <w:rFonts w:ascii="仿宋_GB2312"/>
          <w:szCs w:val="32"/>
        </w:rPr>
      </w:pPr>
      <w:r>
        <w:rPr>
          <w:rFonts w:hint="eastAsia" w:ascii="仿宋_GB2312"/>
          <w:szCs w:val="32"/>
        </w:rPr>
        <w:t>4.论文和著作指取得会计师职称以后的论文、著作、作品，参考《标准条件》中的第七条 理论研究成果，不得上传用稿通知。“时间”填写期刊或著作的出版时间，“期刊或出版社”填写期刊或出版社的法定全称。“题目”的填写，先注明“论文”“著作”，然后写作品名称、页数。如“论文：《信息技术条件下的会计实时控制》P35”。“位次”的填写与奖励位次的要求相同。</w:t>
      </w:r>
    </w:p>
    <w:p w14:paraId="27AEB9B3">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rPr>
          <w:rFonts w:ascii="仿宋_GB2312"/>
          <w:szCs w:val="32"/>
        </w:rPr>
      </w:pPr>
      <w:r>
        <w:rPr>
          <w:rFonts w:hint="eastAsia" w:ascii="仿宋_GB2312"/>
          <w:szCs w:val="32"/>
        </w:rPr>
        <w:t>5.本人执笔制定的制度、办法等业绩成果应由单位附说明，证明由本人制定，并将主要内容合并页面上传，不得仅上传封面，应在任现职以来取得的代表性成果“其他”项中上传。</w:t>
      </w:r>
    </w:p>
    <w:p w14:paraId="659A50B3">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rPr>
          <w:rFonts w:ascii="仿宋_GB2312"/>
          <w:szCs w:val="32"/>
        </w:rPr>
      </w:pPr>
      <w:r>
        <w:rPr>
          <w:rFonts w:hint="eastAsia" w:ascii="仿宋_GB2312"/>
          <w:szCs w:val="32"/>
        </w:rPr>
        <w:t>上传的证明材料如有多个页面的，应合并扫描为1个文件上传。论文材料应上传封面页、目录页、正文页和互联网搜索的数据库检索页，不得仅上传封面、目录。附件大小1M以下，jpg或pdf格式的正面清晰照片。</w:t>
      </w:r>
    </w:p>
    <w:p w14:paraId="0C862E24">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rPr>
          <w:rFonts w:ascii="仿宋_GB2312" w:hAnsi="黑体"/>
          <w:b/>
          <w:bCs/>
          <w:szCs w:val="32"/>
        </w:rPr>
      </w:pPr>
      <w:r>
        <w:rPr>
          <w:rFonts w:hint="eastAsia" w:ascii="仿宋_GB2312" w:hAnsi="黑体"/>
          <w:b/>
          <w:bCs/>
          <w:szCs w:val="32"/>
        </w:rPr>
        <w:t>上述材料的发表时间应在呈报材料的截止时间内，超期的不予认可，不予受理。</w:t>
      </w:r>
    </w:p>
    <w:p w14:paraId="36A8B21B">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rPr>
          <w:rFonts w:ascii="黑体" w:hAnsi="黑体" w:eastAsia="黑体"/>
          <w:szCs w:val="32"/>
        </w:rPr>
      </w:pPr>
      <w:r>
        <w:rPr>
          <w:rFonts w:hint="eastAsia" w:ascii="黑体" w:hAnsi="黑体" w:eastAsia="黑体"/>
          <w:szCs w:val="32"/>
        </w:rPr>
        <w:t>十、任现职以来主要专业技术工作成绩及表现</w:t>
      </w:r>
    </w:p>
    <w:p w14:paraId="6ECB7137">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rPr>
          <w:rFonts w:ascii="仿宋_GB2312"/>
          <w:szCs w:val="32"/>
        </w:rPr>
      </w:pPr>
      <w:r>
        <w:rPr>
          <w:rFonts w:hint="eastAsia" w:ascii="仿宋_GB2312"/>
          <w:szCs w:val="32"/>
        </w:rPr>
        <w:t>填写取得会计师职称后的工作业绩，字数（含标点符号）不多于1200字，工作业绩中不得出现姓名和单位名称。</w:t>
      </w:r>
    </w:p>
    <w:p w14:paraId="03B16E8E">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rPr>
          <w:rFonts w:ascii="黑体" w:hAnsi="黑体" w:eastAsia="黑体"/>
          <w:szCs w:val="32"/>
        </w:rPr>
      </w:pPr>
      <w:r>
        <w:rPr>
          <w:rFonts w:hint="eastAsia" w:ascii="黑体" w:hAnsi="黑体" w:eastAsia="黑体"/>
          <w:szCs w:val="32"/>
        </w:rPr>
        <w:t>十一、其他证明附件</w:t>
      </w:r>
    </w:p>
    <w:p w14:paraId="2768C100">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rPr>
          <w:rFonts w:ascii="仿宋_GB2312"/>
          <w:szCs w:val="32"/>
        </w:rPr>
      </w:pPr>
      <w:r>
        <w:rPr>
          <w:rFonts w:hint="eastAsia" w:ascii="仿宋_GB2312"/>
          <w:szCs w:val="32"/>
        </w:rPr>
        <w:t>扫描上传《推荐申报专业技术职称“六公开”监督卡》及其他证明材料。填写“六公开”监督卡应遵循以下要求：</w:t>
      </w:r>
    </w:p>
    <w:p w14:paraId="160371BA">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rPr>
          <w:rFonts w:ascii="仿宋_GB2312"/>
          <w:szCs w:val="32"/>
        </w:rPr>
      </w:pPr>
      <w:r>
        <w:rPr>
          <w:rFonts w:hint="eastAsia" w:ascii="仿宋_GB2312"/>
          <w:szCs w:val="32"/>
        </w:rPr>
        <w:t>1.“单位（盖章）”填写单位名称，与公章一致，加盖单位公章或职称专用章。</w:t>
      </w:r>
    </w:p>
    <w:p w14:paraId="41B101BE">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rPr>
          <w:rFonts w:ascii="仿宋_GB2312"/>
          <w:szCs w:val="32"/>
        </w:rPr>
      </w:pPr>
      <w:r>
        <w:rPr>
          <w:rFonts w:hint="eastAsia" w:ascii="仿宋_GB2312"/>
          <w:szCs w:val="32"/>
        </w:rPr>
        <w:t>2．“实际参加推荐的人数”指本单位组织推荐时，成立的7人以上推荐委员会成员人数（单位人数不足7人的，按照实际的最高人数填写，并附单位说明）；“被推荐申报人数”指此次被推荐申报高级会计师评审的人数。</w:t>
      </w:r>
    </w:p>
    <w:p w14:paraId="1F3BF277">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rPr>
          <w:rFonts w:ascii="仿宋_GB2312"/>
          <w:szCs w:val="32"/>
        </w:rPr>
      </w:pPr>
      <w:r>
        <w:rPr>
          <w:rFonts w:hint="eastAsia" w:ascii="仿宋_GB2312"/>
          <w:szCs w:val="32"/>
        </w:rPr>
        <w:t>3．“单位人事部门负责人”由人事部门负责人签字或加盖人名章；“单位领导”由单位负责人签字或加盖人名章。</w:t>
      </w:r>
    </w:p>
    <w:p w14:paraId="6E1B4A12">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outlineLvl w:val="0"/>
        <w:rPr>
          <w:rFonts w:ascii="黑体" w:hAnsi="黑体" w:eastAsia="黑体"/>
          <w:szCs w:val="32"/>
        </w:rPr>
      </w:pPr>
      <w:r>
        <w:rPr>
          <w:rFonts w:hint="eastAsia" w:ascii="黑体" w:hAnsi="黑体" w:eastAsia="黑体"/>
          <w:szCs w:val="32"/>
        </w:rPr>
        <w:t>十二、其他注意事项</w:t>
      </w:r>
    </w:p>
    <w:p w14:paraId="7FB4E40A">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outlineLvl w:val="0"/>
        <w:rPr>
          <w:rFonts w:ascii="仿宋_GB2312"/>
          <w:szCs w:val="32"/>
        </w:rPr>
      </w:pPr>
      <w:r>
        <w:rPr>
          <w:rFonts w:hint="eastAsia" w:ascii="仿宋_GB2312"/>
          <w:szCs w:val="32"/>
        </w:rPr>
        <w:t>1.申报系统中填写的内容，均应上传相应的证明材料。证明材料上传不全或申报内容填写不全的，由申报人员承担相应的后果和责任。</w:t>
      </w:r>
    </w:p>
    <w:p w14:paraId="71DE1A63">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rPr>
          <w:rFonts w:ascii="仿宋_GB2312"/>
          <w:szCs w:val="32"/>
        </w:rPr>
      </w:pPr>
      <w:r>
        <w:rPr>
          <w:rFonts w:hint="eastAsia" w:ascii="仿宋_GB2312"/>
          <w:szCs w:val="32"/>
        </w:rPr>
        <w:t>2.表格中需要签字、盖章的地方必须两者皆备，缺一不可。</w:t>
      </w:r>
    </w:p>
    <w:p w14:paraId="019E8358">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rPr>
          <w:rFonts w:ascii="仿宋_GB2312"/>
          <w:szCs w:val="32"/>
        </w:rPr>
      </w:pPr>
      <w:r>
        <w:rPr>
          <w:rFonts w:hint="eastAsia" w:ascii="仿宋_GB2312"/>
          <w:szCs w:val="32"/>
        </w:rPr>
        <w:t>3.评审表中的项目不能漏填，无需填写或没有的填“无”，不能空置。</w:t>
      </w:r>
    </w:p>
    <w:p w14:paraId="15DAF5AF">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rPr>
          <w:rFonts w:ascii="仿宋_GB2312"/>
          <w:szCs w:val="32"/>
        </w:rPr>
      </w:pPr>
      <w:r>
        <w:rPr>
          <w:rFonts w:hint="eastAsia" w:ascii="仿宋_GB2312"/>
          <w:szCs w:val="32"/>
        </w:rPr>
        <w:t>4.申报人员所在工作单位、上级主管部门和呈报部门均需通过统一社会信用代码或组织机构代码证注册单位账户。</w:t>
      </w:r>
    </w:p>
    <w:p w14:paraId="64EF8521">
      <w:pPr>
        <w:keepNext w:val="0"/>
        <w:keepLines w:val="0"/>
        <w:pageBreakBefore w:val="0"/>
        <w:kinsoku/>
        <w:wordWrap/>
        <w:overflowPunct w:val="0"/>
        <w:topLinePunct w:val="0"/>
        <w:autoSpaceDE/>
        <w:autoSpaceDN/>
        <w:bidi w:val="0"/>
        <w:spacing w:line="600" w:lineRule="exact"/>
        <w:ind w:firstLine="658" w:firstLineChars="200"/>
        <w:jc w:val="both"/>
        <w:textAlignment w:val="auto"/>
        <w:rPr>
          <w:rFonts w:ascii="仿宋_GB2312"/>
          <w:szCs w:val="32"/>
        </w:rPr>
      </w:pPr>
      <w:r>
        <w:rPr>
          <w:rFonts w:hint="eastAsia" w:ascii="仿宋_GB2312"/>
          <w:szCs w:val="32"/>
        </w:rPr>
        <w:t>5.申报人员属于劳务派遣的，应在“劳务派遣单位”栏填写法定全称。</w:t>
      </w:r>
    </w:p>
    <w:p w14:paraId="18C7BC5D">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rPr>
          <w:rFonts w:ascii="仿宋_GB2312" w:hAnsi="Calibri"/>
          <w:szCs w:val="32"/>
        </w:rPr>
      </w:pPr>
      <w:r>
        <w:rPr>
          <w:rFonts w:hint="eastAsia" w:ascii="仿宋_GB2312"/>
          <w:szCs w:val="32"/>
        </w:rPr>
        <w:t>6.申</w:t>
      </w:r>
      <w:r>
        <w:rPr>
          <w:rFonts w:hint="eastAsia" w:ascii="仿宋_GB2312" w:hAnsi="Calibri"/>
          <w:szCs w:val="32"/>
        </w:rPr>
        <w:t>报系统上传的证明材料，图像应清晰完整，不可颠倒。涉及多页的，应扫描或用图像软件合成为一个文件。</w:t>
      </w:r>
    </w:p>
    <w:p w14:paraId="020EA7DC">
      <w:pPr>
        <w:keepNext w:val="0"/>
        <w:keepLines w:val="0"/>
        <w:pageBreakBefore w:val="0"/>
        <w:kinsoku/>
        <w:wordWrap/>
        <w:overflowPunct w:val="0"/>
        <w:topLinePunct w:val="0"/>
        <w:autoSpaceDE/>
        <w:autoSpaceDN/>
        <w:bidi w:val="0"/>
        <w:adjustRightInd w:val="0"/>
        <w:snapToGrid w:val="0"/>
        <w:spacing w:line="600" w:lineRule="exact"/>
        <w:ind w:firstLine="658" w:firstLineChars="200"/>
        <w:jc w:val="both"/>
        <w:textAlignment w:val="auto"/>
      </w:pPr>
      <w:r>
        <w:rPr>
          <w:rFonts w:hint="eastAsia" w:ascii="仿宋_GB2312"/>
          <w:szCs w:val="32"/>
        </w:rPr>
        <w:t>7.联系电话应填写准确。</w:t>
      </w:r>
    </w:p>
    <w:p w14:paraId="044CF4B1">
      <w:pPr>
        <w:keepNext w:val="0"/>
        <w:keepLines w:val="0"/>
        <w:pageBreakBefore w:val="0"/>
        <w:widowControl w:val="0"/>
        <w:kinsoku/>
        <w:wordWrap/>
        <w:overflowPunct/>
        <w:topLinePunct w:val="0"/>
        <w:autoSpaceDE/>
        <w:autoSpaceDN/>
        <w:bidi w:val="0"/>
        <w:adjustRightInd/>
        <w:snapToGrid/>
        <w:spacing w:line="640" w:lineRule="exact"/>
        <w:textAlignment w:val="auto"/>
        <w:outlineLvl w:val="0"/>
        <w:rPr>
          <w:rFonts w:ascii="仿宋" w:hAnsi="仿宋" w:eastAsia="仿宋"/>
          <w:szCs w:val="32"/>
        </w:rPr>
      </w:pPr>
      <w:r>
        <w:br w:type="page"/>
      </w:r>
      <w:bookmarkStart w:id="0" w:name="OLE_LINK22"/>
      <w:bookmarkStart w:id="1" w:name="OLE_LINK23"/>
      <w:r>
        <w:rPr>
          <w:rFonts w:hint="eastAsia" w:ascii="黑体" w:hAnsi="黑体" w:eastAsia="黑体" w:cs="黑体"/>
          <w:szCs w:val="32"/>
        </w:rPr>
        <w:t>附件2</w:t>
      </w:r>
    </w:p>
    <w:p w14:paraId="7AFF9500">
      <w:pPr>
        <w:keepNext w:val="0"/>
        <w:keepLines w:val="0"/>
        <w:pageBreakBefore w:val="0"/>
        <w:widowControl w:val="0"/>
        <w:kinsoku/>
        <w:wordWrap/>
        <w:overflowPunct/>
        <w:topLinePunct w:val="0"/>
        <w:autoSpaceDE/>
        <w:autoSpaceDN/>
        <w:bidi w:val="0"/>
        <w:adjustRightInd/>
        <w:snapToGrid/>
        <w:spacing w:line="640" w:lineRule="exact"/>
        <w:jc w:val="left"/>
        <w:textAlignment w:val="auto"/>
        <w:outlineLvl w:val="0"/>
        <w:rPr>
          <w:rFonts w:ascii="方正小标宋简体" w:hAnsi="方正小标宋简体" w:eastAsia="方正小标宋简体" w:cs="方正小标宋简体"/>
          <w:sz w:val="40"/>
          <w:szCs w:val="36"/>
        </w:rPr>
      </w:pPr>
    </w:p>
    <w:p w14:paraId="062F9C9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sz w:val="40"/>
          <w:szCs w:val="36"/>
        </w:rPr>
      </w:pPr>
      <w:r>
        <w:rPr>
          <w:rFonts w:hint="eastAsia" w:ascii="方正小标宋简体" w:hAnsi="方正小标宋简体" w:eastAsia="方正小标宋简体" w:cs="方正小标宋简体"/>
          <w:sz w:val="40"/>
          <w:szCs w:val="36"/>
        </w:rPr>
        <w:t>推荐申报专业技术职称“六公开”监督卡</w:t>
      </w:r>
    </w:p>
    <w:p w14:paraId="33F84AED">
      <w:pPr>
        <w:spacing w:line="600" w:lineRule="exact"/>
        <w:jc w:val="center"/>
        <w:rPr>
          <w:rFonts w:ascii="方正小标宋简体" w:hAnsi="方正小标宋简体" w:eastAsia="方正小标宋简体" w:cs="方正小标宋简体"/>
          <w:sz w:val="36"/>
          <w:szCs w:val="36"/>
        </w:rPr>
      </w:pPr>
    </w:p>
    <w:p w14:paraId="7CBDDA75">
      <w:pPr>
        <w:spacing w:after="124" w:afterLines="20"/>
        <w:rPr>
          <w:rFonts w:asciiTheme="minorEastAsia" w:hAnsiTheme="minorEastAsia" w:eastAsiaTheme="minorEastAsia"/>
          <w:sz w:val="24"/>
        </w:rPr>
      </w:pPr>
      <w:r>
        <w:rPr>
          <w:rFonts w:hint="eastAsia" w:asciiTheme="minorEastAsia" w:hAnsiTheme="minorEastAsia" w:eastAsiaTheme="minorEastAsia"/>
          <w:sz w:val="24"/>
        </w:rPr>
        <w:t>单位(盖章)：                                                年   月   日</w:t>
      </w:r>
    </w:p>
    <w:tbl>
      <w:tblPr>
        <w:tblStyle w:val="6"/>
        <w:tblW w:w="94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38"/>
        <w:gridCol w:w="61"/>
        <w:gridCol w:w="581"/>
        <w:gridCol w:w="992"/>
        <w:gridCol w:w="326"/>
        <w:gridCol w:w="1899"/>
        <w:gridCol w:w="327"/>
        <w:gridCol w:w="850"/>
        <w:gridCol w:w="722"/>
        <w:gridCol w:w="696"/>
        <w:gridCol w:w="1203"/>
      </w:tblGrid>
      <w:tr w14:paraId="657C29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2480" w:type="dxa"/>
            <w:gridSpan w:val="3"/>
            <w:tcBorders>
              <w:top w:val="single" w:color="auto" w:sz="8" w:space="0"/>
              <w:left w:val="single" w:color="auto" w:sz="8" w:space="0"/>
              <w:bottom w:val="single" w:color="auto" w:sz="6" w:space="0"/>
              <w:right w:val="single" w:color="auto" w:sz="6" w:space="0"/>
            </w:tcBorders>
            <w:vAlign w:val="center"/>
          </w:tcPr>
          <w:p w14:paraId="2948E9FF">
            <w:pPr>
              <w:jc w:val="center"/>
              <w:rPr>
                <w:rFonts w:asciiTheme="minorEastAsia" w:hAnsiTheme="minorEastAsia" w:eastAsiaTheme="minorEastAsia"/>
                <w:spacing w:val="4"/>
                <w:sz w:val="24"/>
                <w:szCs w:val="21"/>
              </w:rPr>
            </w:pPr>
            <w:bookmarkStart w:id="2" w:name="OLE_LINK24"/>
            <w:bookmarkStart w:id="3" w:name="OLE_LINK25"/>
            <w:r>
              <w:rPr>
                <w:rFonts w:hint="eastAsia" w:asciiTheme="minorEastAsia" w:hAnsiTheme="minorEastAsia" w:eastAsiaTheme="minorEastAsia"/>
                <w:spacing w:val="4"/>
                <w:sz w:val="24"/>
                <w:szCs w:val="21"/>
              </w:rPr>
              <w:t>专业技术人员总数</w:t>
            </w:r>
          </w:p>
        </w:tc>
        <w:tc>
          <w:tcPr>
            <w:tcW w:w="992" w:type="dxa"/>
            <w:tcBorders>
              <w:top w:val="single" w:color="auto" w:sz="8" w:space="0"/>
              <w:left w:val="single" w:color="auto" w:sz="6" w:space="0"/>
              <w:bottom w:val="single" w:color="auto" w:sz="6" w:space="0"/>
              <w:right w:val="single" w:color="auto" w:sz="6" w:space="0"/>
            </w:tcBorders>
            <w:vAlign w:val="center"/>
          </w:tcPr>
          <w:p w14:paraId="2BCDF733">
            <w:pPr>
              <w:jc w:val="center"/>
              <w:rPr>
                <w:rFonts w:asciiTheme="minorEastAsia" w:hAnsiTheme="minorEastAsia" w:eastAsiaTheme="minorEastAsia"/>
                <w:spacing w:val="4"/>
                <w:sz w:val="24"/>
                <w:szCs w:val="21"/>
              </w:rPr>
            </w:pPr>
          </w:p>
        </w:tc>
        <w:tc>
          <w:tcPr>
            <w:tcW w:w="2552" w:type="dxa"/>
            <w:gridSpan w:val="3"/>
            <w:tcBorders>
              <w:top w:val="single" w:color="auto" w:sz="8" w:space="0"/>
              <w:left w:val="single" w:color="auto" w:sz="6" w:space="0"/>
              <w:bottom w:val="single" w:color="auto" w:sz="6" w:space="0"/>
              <w:right w:val="single" w:color="auto" w:sz="6" w:space="0"/>
            </w:tcBorders>
            <w:vAlign w:val="center"/>
          </w:tcPr>
          <w:p w14:paraId="63FA6BAB">
            <w:pPr>
              <w:ind w:left="-223" w:leftChars="-68" w:right="-115" w:rightChars="-35"/>
              <w:jc w:val="center"/>
              <w:rPr>
                <w:rFonts w:asciiTheme="minorEastAsia" w:hAnsiTheme="minorEastAsia" w:eastAsiaTheme="minorEastAsia"/>
                <w:spacing w:val="4"/>
                <w:sz w:val="24"/>
                <w:szCs w:val="21"/>
              </w:rPr>
            </w:pPr>
            <w:r>
              <w:rPr>
                <w:rFonts w:hint="eastAsia" w:asciiTheme="minorEastAsia" w:hAnsiTheme="minorEastAsia" w:eastAsiaTheme="minorEastAsia"/>
                <w:spacing w:val="4"/>
                <w:sz w:val="24"/>
                <w:szCs w:val="21"/>
              </w:rPr>
              <w:t>实际参加推荐的人数</w:t>
            </w:r>
          </w:p>
        </w:tc>
        <w:tc>
          <w:tcPr>
            <w:tcW w:w="850" w:type="dxa"/>
            <w:tcBorders>
              <w:top w:val="single" w:color="auto" w:sz="8" w:space="0"/>
              <w:left w:val="single" w:color="auto" w:sz="6" w:space="0"/>
              <w:bottom w:val="single" w:color="auto" w:sz="6" w:space="0"/>
              <w:right w:val="single" w:color="auto" w:sz="6" w:space="0"/>
            </w:tcBorders>
            <w:vAlign w:val="center"/>
          </w:tcPr>
          <w:p w14:paraId="0961019F">
            <w:pPr>
              <w:jc w:val="center"/>
              <w:rPr>
                <w:rFonts w:asciiTheme="minorEastAsia" w:hAnsiTheme="minorEastAsia" w:eastAsiaTheme="minorEastAsia"/>
                <w:spacing w:val="4"/>
                <w:sz w:val="24"/>
                <w:szCs w:val="21"/>
              </w:rPr>
            </w:pPr>
          </w:p>
        </w:tc>
        <w:tc>
          <w:tcPr>
            <w:tcW w:w="1418" w:type="dxa"/>
            <w:gridSpan w:val="2"/>
            <w:tcBorders>
              <w:top w:val="single" w:color="auto" w:sz="8" w:space="0"/>
              <w:left w:val="single" w:color="auto" w:sz="6" w:space="0"/>
              <w:bottom w:val="single" w:color="auto" w:sz="6" w:space="0"/>
              <w:right w:val="single" w:color="auto" w:sz="6" w:space="0"/>
            </w:tcBorders>
            <w:tcMar>
              <w:top w:w="0" w:type="dxa"/>
              <w:left w:w="28" w:type="dxa"/>
              <w:bottom w:w="0" w:type="dxa"/>
              <w:right w:w="28" w:type="dxa"/>
            </w:tcMar>
            <w:vAlign w:val="center"/>
          </w:tcPr>
          <w:p w14:paraId="5F79D17A">
            <w:pPr>
              <w:spacing w:line="360" w:lineRule="exact"/>
              <w:jc w:val="center"/>
              <w:rPr>
                <w:rFonts w:asciiTheme="minorEastAsia" w:hAnsiTheme="minorEastAsia" w:eastAsiaTheme="minorEastAsia"/>
                <w:spacing w:val="4"/>
                <w:sz w:val="24"/>
                <w:szCs w:val="21"/>
              </w:rPr>
            </w:pPr>
            <w:r>
              <w:rPr>
                <w:rFonts w:hint="eastAsia" w:asciiTheme="minorEastAsia" w:hAnsiTheme="minorEastAsia" w:eastAsiaTheme="minorEastAsia"/>
                <w:spacing w:val="4"/>
                <w:sz w:val="24"/>
                <w:szCs w:val="21"/>
              </w:rPr>
              <w:t>被 推 荐</w:t>
            </w:r>
          </w:p>
          <w:p w14:paraId="1B1B58E3">
            <w:pPr>
              <w:spacing w:line="360" w:lineRule="exact"/>
              <w:jc w:val="center"/>
              <w:rPr>
                <w:rFonts w:asciiTheme="minorEastAsia" w:hAnsiTheme="minorEastAsia" w:eastAsiaTheme="minorEastAsia"/>
                <w:spacing w:val="4"/>
                <w:sz w:val="24"/>
                <w:szCs w:val="21"/>
              </w:rPr>
            </w:pPr>
            <w:r>
              <w:rPr>
                <w:rFonts w:hint="eastAsia" w:asciiTheme="minorEastAsia" w:hAnsiTheme="minorEastAsia" w:eastAsiaTheme="minorEastAsia"/>
                <w:spacing w:val="4"/>
                <w:sz w:val="24"/>
                <w:szCs w:val="21"/>
              </w:rPr>
              <w:t>申报人数</w:t>
            </w:r>
          </w:p>
        </w:tc>
        <w:tc>
          <w:tcPr>
            <w:tcW w:w="1203" w:type="dxa"/>
            <w:tcBorders>
              <w:top w:val="single" w:color="auto" w:sz="8" w:space="0"/>
              <w:left w:val="single" w:color="auto" w:sz="6" w:space="0"/>
              <w:bottom w:val="single" w:color="auto" w:sz="6" w:space="0"/>
              <w:right w:val="single" w:color="auto" w:sz="8" w:space="0"/>
            </w:tcBorders>
            <w:vAlign w:val="center"/>
          </w:tcPr>
          <w:p w14:paraId="354097D1">
            <w:pPr>
              <w:jc w:val="center"/>
              <w:rPr>
                <w:rFonts w:asciiTheme="minorEastAsia" w:hAnsiTheme="minorEastAsia" w:eastAsiaTheme="minorEastAsia"/>
                <w:spacing w:val="4"/>
                <w:sz w:val="24"/>
                <w:szCs w:val="21"/>
              </w:rPr>
            </w:pPr>
          </w:p>
        </w:tc>
      </w:tr>
      <w:tr w14:paraId="02CE42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exact"/>
          <w:jc w:val="center"/>
        </w:trPr>
        <w:tc>
          <w:tcPr>
            <w:tcW w:w="1838" w:type="dxa"/>
            <w:tcBorders>
              <w:top w:val="single" w:color="auto" w:sz="6" w:space="0"/>
              <w:left w:val="single" w:color="auto" w:sz="8" w:space="0"/>
              <w:bottom w:val="single" w:color="auto" w:sz="6" w:space="0"/>
              <w:right w:val="single" w:color="auto" w:sz="6" w:space="0"/>
            </w:tcBorders>
            <w:vAlign w:val="center"/>
          </w:tcPr>
          <w:p w14:paraId="6423161F">
            <w:pPr>
              <w:spacing w:line="360" w:lineRule="exact"/>
              <w:jc w:val="center"/>
              <w:rPr>
                <w:rFonts w:asciiTheme="minorEastAsia" w:hAnsiTheme="minorEastAsia" w:eastAsiaTheme="minorEastAsia"/>
                <w:spacing w:val="4"/>
                <w:sz w:val="24"/>
                <w:szCs w:val="21"/>
              </w:rPr>
            </w:pPr>
            <w:r>
              <w:rPr>
                <w:rFonts w:hint="eastAsia" w:asciiTheme="minorEastAsia" w:hAnsiTheme="minorEastAsia" w:eastAsiaTheme="minorEastAsia"/>
                <w:spacing w:val="4"/>
                <w:sz w:val="24"/>
                <w:szCs w:val="21"/>
              </w:rPr>
              <w:t>“六公开”</w:t>
            </w:r>
          </w:p>
          <w:p w14:paraId="48F9C344">
            <w:pPr>
              <w:spacing w:line="360" w:lineRule="exact"/>
              <w:jc w:val="center"/>
              <w:rPr>
                <w:rFonts w:asciiTheme="minorEastAsia" w:hAnsiTheme="minorEastAsia" w:eastAsiaTheme="minorEastAsia"/>
                <w:spacing w:val="4"/>
                <w:sz w:val="24"/>
                <w:szCs w:val="21"/>
              </w:rPr>
            </w:pPr>
            <w:r>
              <w:rPr>
                <w:rFonts w:hint="eastAsia" w:asciiTheme="minorEastAsia" w:hAnsiTheme="minorEastAsia" w:eastAsiaTheme="minorEastAsia"/>
                <w:spacing w:val="4"/>
                <w:sz w:val="24"/>
                <w:szCs w:val="21"/>
              </w:rPr>
              <w:t>内    容</w:t>
            </w:r>
          </w:p>
        </w:tc>
        <w:tc>
          <w:tcPr>
            <w:tcW w:w="7657" w:type="dxa"/>
            <w:gridSpan w:val="10"/>
            <w:tcBorders>
              <w:top w:val="single" w:color="auto" w:sz="6" w:space="0"/>
              <w:left w:val="single" w:color="auto" w:sz="6" w:space="0"/>
              <w:bottom w:val="single" w:color="auto" w:sz="6" w:space="0"/>
              <w:right w:val="single" w:color="auto" w:sz="8" w:space="0"/>
            </w:tcBorders>
            <w:vAlign w:val="center"/>
          </w:tcPr>
          <w:p w14:paraId="0EAF0688">
            <w:pPr>
              <w:spacing w:line="360" w:lineRule="exact"/>
              <w:rPr>
                <w:rFonts w:asciiTheme="minorEastAsia" w:hAnsiTheme="minorEastAsia" w:eastAsiaTheme="minorEastAsia"/>
                <w:spacing w:val="4"/>
                <w:sz w:val="24"/>
                <w:szCs w:val="21"/>
              </w:rPr>
            </w:pPr>
            <w:r>
              <w:rPr>
                <w:rFonts w:hint="eastAsia" w:asciiTheme="minorEastAsia" w:hAnsiTheme="minorEastAsia" w:eastAsiaTheme="minorEastAsia"/>
                <w:spacing w:val="4"/>
                <w:sz w:val="24"/>
                <w:szCs w:val="21"/>
              </w:rPr>
              <w:t>1、公开专业技术岗位数        4、公开申报人述职</w:t>
            </w:r>
          </w:p>
          <w:p w14:paraId="085B7910">
            <w:pPr>
              <w:spacing w:line="360" w:lineRule="exact"/>
              <w:rPr>
                <w:rFonts w:asciiTheme="minorEastAsia" w:hAnsiTheme="minorEastAsia" w:eastAsiaTheme="minorEastAsia"/>
                <w:spacing w:val="4"/>
                <w:sz w:val="24"/>
                <w:szCs w:val="21"/>
              </w:rPr>
            </w:pPr>
            <w:r>
              <w:rPr>
                <w:rFonts w:hint="eastAsia" w:asciiTheme="minorEastAsia" w:hAnsiTheme="minorEastAsia" w:eastAsiaTheme="minorEastAsia"/>
                <w:spacing w:val="4"/>
                <w:sz w:val="24"/>
                <w:szCs w:val="21"/>
              </w:rPr>
              <w:t>2、公开任职条件              5、公开申报人的评审材料</w:t>
            </w:r>
          </w:p>
          <w:p w14:paraId="15E9FA9C">
            <w:pPr>
              <w:spacing w:line="360" w:lineRule="exact"/>
              <w:rPr>
                <w:rFonts w:asciiTheme="minorEastAsia" w:hAnsiTheme="minorEastAsia" w:eastAsiaTheme="minorEastAsia"/>
                <w:spacing w:val="4"/>
                <w:sz w:val="24"/>
                <w:szCs w:val="21"/>
              </w:rPr>
            </w:pPr>
            <w:r>
              <w:rPr>
                <w:rFonts w:hint="eastAsia" w:asciiTheme="minorEastAsia" w:hAnsiTheme="minorEastAsia" w:eastAsiaTheme="minorEastAsia"/>
                <w:spacing w:val="4"/>
                <w:sz w:val="24"/>
                <w:szCs w:val="21"/>
              </w:rPr>
              <w:t>3、公开推荐办法              6、公开被推荐申报人员名单</w:t>
            </w:r>
          </w:p>
        </w:tc>
      </w:tr>
      <w:tr w14:paraId="652983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495" w:type="dxa"/>
            <w:gridSpan w:val="11"/>
            <w:tcBorders>
              <w:top w:val="single" w:color="auto" w:sz="6" w:space="0"/>
              <w:left w:val="single" w:color="auto" w:sz="8" w:space="0"/>
              <w:bottom w:val="single" w:color="auto" w:sz="6" w:space="0"/>
              <w:right w:val="single" w:color="auto" w:sz="8" w:space="0"/>
            </w:tcBorders>
            <w:vAlign w:val="center"/>
          </w:tcPr>
          <w:p w14:paraId="0F76E438">
            <w:pPr>
              <w:jc w:val="center"/>
              <w:rPr>
                <w:rFonts w:asciiTheme="minorEastAsia" w:hAnsiTheme="minorEastAsia" w:eastAsiaTheme="minorEastAsia"/>
                <w:spacing w:val="12"/>
                <w:sz w:val="24"/>
                <w:szCs w:val="21"/>
              </w:rPr>
            </w:pPr>
            <w:r>
              <w:rPr>
                <w:rFonts w:hint="eastAsia" w:asciiTheme="minorEastAsia" w:hAnsiTheme="minorEastAsia" w:eastAsiaTheme="minorEastAsia"/>
                <w:spacing w:val="12"/>
                <w:sz w:val="24"/>
                <w:szCs w:val="21"/>
              </w:rPr>
              <w:t>如果认为单位做到了上述要求，请在下面栏目中签名</w:t>
            </w:r>
          </w:p>
        </w:tc>
      </w:tr>
      <w:tr w14:paraId="391276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495" w:type="dxa"/>
            <w:gridSpan w:val="11"/>
            <w:tcBorders>
              <w:top w:val="single" w:color="auto" w:sz="6" w:space="0"/>
              <w:left w:val="single" w:color="auto" w:sz="8" w:space="0"/>
              <w:bottom w:val="single" w:color="auto" w:sz="6" w:space="0"/>
              <w:right w:val="single" w:color="auto" w:sz="8" w:space="0"/>
            </w:tcBorders>
            <w:vAlign w:val="center"/>
          </w:tcPr>
          <w:p w14:paraId="7D04B19A">
            <w:pPr>
              <w:jc w:val="center"/>
              <w:rPr>
                <w:rFonts w:asciiTheme="minorEastAsia" w:hAnsiTheme="minorEastAsia" w:eastAsiaTheme="minorEastAsia"/>
                <w:spacing w:val="4"/>
                <w:sz w:val="24"/>
                <w:szCs w:val="21"/>
              </w:rPr>
            </w:pPr>
            <w:r>
              <w:rPr>
                <w:rFonts w:hint="eastAsia" w:asciiTheme="minorEastAsia" w:hAnsiTheme="minorEastAsia" w:eastAsiaTheme="minorEastAsia"/>
                <w:spacing w:val="4"/>
                <w:sz w:val="24"/>
                <w:szCs w:val="21"/>
              </w:rPr>
              <w:t>全体专业技术人员或专业技术人员代表</w:t>
            </w:r>
          </w:p>
        </w:tc>
      </w:tr>
      <w:tr w14:paraId="3AB1FD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99" w:type="dxa"/>
            <w:gridSpan w:val="2"/>
            <w:tcBorders>
              <w:top w:val="single" w:color="auto" w:sz="6" w:space="0"/>
              <w:left w:val="single" w:color="auto" w:sz="8" w:space="0"/>
              <w:bottom w:val="single" w:color="auto" w:sz="6" w:space="0"/>
              <w:right w:val="single" w:color="auto" w:sz="6" w:space="0"/>
            </w:tcBorders>
            <w:vAlign w:val="center"/>
          </w:tcPr>
          <w:p w14:paraId="77191D62">
            <w:pPr>
              <w:jc w:val="center"/>
              <w:rPr>
                <w:rFonts w:ascii="宋体"/>
                <w:spacing w:val="4"/>
                <w:sz w:val="21"/>
                <w:szCs w:val="21"/>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320D7BB5">
            <w:pPr>
              <w:jc w:val="center"/>
              <w:rPr>
                <w:rFonts w:ascii="宋体"/>
                <w:spacing w:val="4"/>
                <w:sz w:val="21"/>
                <w:szCs w:val="21"/>
              </w:rPr>
            </w:pPr>
          </w:p>
        </w:tc>
        <w:tc>
          <w:tcPr>
            <w:tcW w:w="1899" w:type="dxa"/>
            <w:tcBorders>
              <w:top w:val="single" w:color="auto" w:sz="6" w:space="0"/>
              <w:left w:val="single" w:color="auto" w:sz="6" w:space="0"/>
              <w:bottom w:val="single" w:color="auto" w:sz="6" w:space="0"/>
              <w:right w:val="single" w:color="auto" w:sz="6" w:space="0"/>
            </w:tcBorders>
            <w:vAlign w:val="center"/>
          </w:tcPr>
          <w:p w14:paraId="3A8533CF">
            <w:pPr>
              <w:jc w:val="center"/>
              <w:rPr>
                <w:rFonts w:ascii="宋体"/>
                <w:spacing w:val="4"/>
                <w:sz w:val="21"/>
                <w:szCs w:val="21"/>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6B8078D6">
            <w:pPr>
              <w:jc w:val="center"/>
              <w:rPr>
                <w:rFonts w:ascii="宋体"/>
                <w:spacing w:val="4"/>
                <w:sz w:val="21"/>
                <w:szCs w:val="21"/>
              </w:rPr>
            </w:pPr>
          </w:p>
        </w:tc>
        <w:tc>
          <w:tcPr>
            <w:tcW w:w="1899" w:type="dxa"/>
            <w:gridSpan w:val="2"/>
            <w:tcBorders>
              <w:top w:val="single" w:color="auto" w:sz="6" w:space="0"/>
              <w:left w:val="single" w:color="auto" w:sz="6" w:space="0"/>
              <w:bottom w:val="single" w:color="auto" w:sz="6" w:space="0"/>
              <w:right w:val="single" w:color="auto" w:sz="8" w:space="0"/>
            </w:tcBorders>
            <w:vAlign w:val="center"/>
          </w:tcPr>
          <w:p w14:paraId="398A00F0">
            <w:pPr>
              <w:jc w:val="center"/>
              <w:rPr>
                <w:rFonts w:ascii="宋体"/>
                <w:spacing w:val="4"/>
                <w:sz w:val="21"/>
                <w:szCs w:val="21"/>
              </w:rPr>
            </w:pPr>
          </w:p>
        </w:tc>
      </w:tr>
      <w:tr w14:paraId="1EBC36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99" w:type="dxa"/>
            <w:gridSpan w:val="2"/>
            <w:tcBorders>
              <w:top w:val="single" w:color="auto" w:sz="6" w:space="0"/>
              <w:left w:val="single" w:color="auto" w:sz="8" w:space="0"/>
              <w:bottom w:val="single" w:color="auto" w:sz="6" w:space="0"/>
              <w:right w:val="single" w:color="auto" w:sz="6" w:space="0"/>
            </w:tcBorders>
            <w:vAlign w:val="center"/>
          </w:tcPr>
          <w:p w14:paraId="69DEC9ED">
            <w:pPr>
              <w:jc w:val="center"/>
              <w:rPr>
                <w:rFonts w:ascii="宋体"/>
                <w:spacing w:val="4"/>
                <w:sz w:val="21"/>
                <w:szCs w:val="21"/>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31BBB7E5">
            <w:pPr>
              <w:jc w:val="center"/>
              <w:rPr>
                <w:rFonts w:ascii="宋体"/>
                <w:spacing w:val="4"/>
                <w:sz w:val="21"/>
                <w:szCs w:val="21"/>
              </w:rPr>
            </w:pPr>
          </w:p>
        </w:tc>
        <w:tc>
          <w:tcPr>
            <w:tcW w:w="1899" w:type="dxa"/>
            <w:tcBorders>
              <w:top w:val="single" w:color="auto" w:sz="6" w:space="0"/>
              <w:left w:val="single" w:color="auto" w:sz="6" w:space="0"/>
              <w:bottom w:val="single" w:color="auto" w:sz="6" w:space="0"/>
              <w:right w:val="single" w:color="auto" w:sz="6" w:space="0"/>
            </w:tcBorders>
            <w:vAlign w:val="center"/>
          </w:tcPr>
          <w:p w14:paraId="401802EC">
            <w:pPr>
              <w:jc w:val="center"/>
              <w:rPr>
                <w:rFonts w:ascii="宋体"/>
                <w:spacing w:val="4"/>
                <w:sz w:val="21"/>
                <w:szCs w:val="21"/>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4CF4E046">
            <w:pPr>
              <w:jc w:val="center"/>
              <w:rPr>
                <w:rFonts w:ascii="宋体"/>
                <w:spacing w:val="4"/>
                <w:sz w:val="21"/>
                <w:szCs w:val="21"/>
              </w:rPr>
            </w:pPr>
          </w:p>
        </w:tc>
        <w:tc>
          <w:tcPr>
            <w:tcW w:w="1899" w:type="dxa"/>
            <w:gridSpan w:val="2"/>
            <w:tcBorders>
              <w:top w:val="single" w:color="auto" w:sz="6" w:space="0"/>
              <w:left w:val="single" w:color="auto" w:sz="6" w:space="0"/>
              <w:bottom w:val="single" w:color="auto" w:sz="6" w:space="0"/>
              <w:right w:val="single" w:color="auto" w:sz="8" w:space="0"/>
            </w:tcBorders>
            <w:vAlign w:val="center"/>
          </w:tcPr>
          <w:p w14:paraId="78F388B6">
            <w:pPr>
              <w:jc w:val="center"/>
              <w:rPr>
                <w:rFonts w:ascii="宋体"/>
                <w:spacing w:val="4"/>
                <w:sz w:val="21"/>
                <w:szCs w:val="21"/>
              </w:rPr>
            </w:pPr>
          </w:p>
        </w:tc>
      </w:tr>
      <w:tr w14:paraId="010EB5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99" w:type="dxa"/>
            <w:gridSpan w:val="2"/>
            <w:tcBorders>
              <w:top w:val="single" w:color="auto" w:sz="6" w:space="0"/>
              <w:left w:val="single" w:color="auto" w:sz="8" w:space="0"/>
              <w:bottom w:val="single" w:color="auto" w:sz="6" w:space="0"/>
              <w:right w:val="single" w:color="auto" w:sz="6" w:space="0"/>
            </w:tcBorders>
            <w:vAlign w:val="center"/>
          </w:tcPr>
          <w:p w14:paraId="5FBA5DF3">
            <w:pPr>
              <w:jc w:val="center"/>
              <w:rPr>
                <w:rFonts w:ascii="宋体"/>
                <w:spacing w:val="4"/>
                <w:sz w:val="21"/>
                <w:szCs w:val="21"/>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14436FA1">
            <w:pPr>
              <w:jc w:val="center"/>
              <w:rPr>
                <w:rFonts w:ascii="宋体"/>
                <w:spacing w:val="4"/>
                <w:sz w:val="21"/>
                <w:szCs w:val="21"/>
              </w:rPr>
            </w:pPr>
          </w:p>
        </w:tc>
        <w:tc>
          <w:tcPr>
            <w:tcW w:w="1899" w:type="dxa"/>
            <w:tcBorders>
              <w:top w:val="single" w:color="auto" w:sz="6" w:space="0"/>
              <w:left w:val="single" w:color="auto" w:sz="6" w:space="0"/>
              <w:bottom w:val="single" w:color="auto" w:sz="6" w:space="0"/>
              <w:right w:val="single" w:color="auto" w:sz="6" w:space="0"/>
            </w:tcBorders>
            <w:vAlign w:val="center"/>
          </w:tcPr>
          <w:p w14:paraId="5597E3C9">
            <w:pPr>
              <w:jc w:val="center"/>
              <w:rPr>
                <w:rFonts w:ascii="宋体"/>
                <w:spacing w:val="4"/>
                <w:sz w:val="21"/>
                <w:szCs w:val="21"/>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289D8CBC">
            <w:pPr>
              <w:jc w:val="center"/>
              <w:rPr>
                <w:rFonts w:ascii="宋体"/>
                <w:spacing w:val="4"/>
                <w:sz w:val="21"/>
                <w:szCs w:val="21"/>
              </w:rPr>
            </w:pPr>
          </w:p>
        </w:tc>
        <w:tc>
          <w:tcPr>
            <w:tcW w:w="1899" w:type="dxa"/>
            <w:gridSpan w:val="2"/>
            <w:tcBorders>
              <w:top w:val="single" w:color="auto" w:sz="6" w:space="0"/>
              <w:left w:val="single" w:color="auto" w:sz="6" w:space="0"/>
              <w:bottom w:val="single" w:color="auto" w:sz="6" w:space="0"/>
              <w:right w:val="single" w:color="auto" w:sz="8" w:space="0"/>
            </w:tcBorders>
            <w:vAlign w:val="center"/>
          </w:tcPr>
          <w:p w14:paraId="57DC7D3D">
            <w:pPr>
              <w:jc w:val="center"/>
              <w:rPr>
                <w:rFonts w:ascii="宋体"/>
                <w:spacing w:val="4"/>
                <w:sz w:val="21"/>
                <w:szCs w:val="21"/>
              </w:rPr>
            </w:pPr>
          </w:p>
        </w:tc>
      </w:tr>
      <w:tr w14:paraId="70B25C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99" w:type="dxa"/>
            <w:gridSpan w:val="2"/>
            <w:tcBorders>
              <w:top w:val="single" w:color="auto" w:sz="6" w:space="0"/>
              <w:left w:val="single" w:color="auto" w:sz="8" w:space="0"/>
              <w:bottom w:val="single" w:color="auto" w:sz="6" w:space="0"/>
              <w:right w:val="single" w:color="auto" w:sz="6" w:space="0"/>
            </w:tcBorders>
            <w:vAlign w:val="center"/>
          </w:tcPr>
          <w:p w14:paraId="1DABE07E">
            <w:pPr>
              <w:jc w:val="center"/>
              <w:rPr>
                <w:rFonts w:ascii="宋体"/>
                <w:spacing w:val="4"/>
                <w:sz w:val="21"/>
                <w:szCs w:val="21"/>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04F14545">
            <w:pPr>
              <w:jc w:val="center"/>
              <w:rPr>
                <w:rFonts w:ascii="宋体"/>
                <w:spacing w:val="4"/>
                <w:sz w:val="21"/>
                <w:szCs w:val="21"/>
              </w:rPr>
            </w:pPr>
          </w:p>
        </w:tc>
        <w:tc>
          <w:tcPr>
            <w:tcW w:w="1899" w:type="dxa"/>
            <w:tcBorders>
              <w:top w:val="single" w:color="auto" w:sz="6" w:space="0"/>
              <w:left w:val="single" w:color="auto" w:sz="6" w:space="0"/>
              <w:bottom w:val="single" w:color="auto" w:sz="6" w:space="0"/>
              <w:right w:val="single" w:color="auto" w:sz="6" w:space="0"/>
            </w:tcBorders>
            <w:vAlign w:val="center"/>
          </w:tcPr>
          <w:p w14:paraId="7548A247">
            <w:pPr>
              <w:jc w:val="center"/>
              <w:rPr>
                <w:rFonts w:ascii="宋体"/>
                <w:spacing w:val="4"/>
                <w:sz w:val="21"/>
                <w:szCs w:val="21"/>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641186C9">
            <w:pPr>
              <w:jc w:val="center"/>
              <w:rPr>
                <w:rFonts w:ascii="宋体"/>
                <w:spacing w:val="4"/>
                <w:sz w:val="21"/>
                <w:szCs w:val="21"/>
              </w:rPr>
            </w:pPr>
          </w:p>
        </w:tc>
        <w:tc>
          <w:tcPr>
            <w:tcW w:w="1899" w:type="dxa"/>
            <w:gridSpan w:val="2"/>
            <w:tcBorders>
              <w:top w:val="single" w:color="auto" w:sz="6" w:space="0"/>
              <w:left w:val="single" w:color="auto" w:sz="6" w:space="0"/>
              <w:bottom w:val="single" w:color="auto" w:sz="6" w:space="0"/>
              <w:right w:val="single" w:color="auto" w:sz="8" w:space="0"/>
            </w:tcBorders>
            <w:vAlign w:val="center"/>
          </w:tcPr>
          <w:p w14:paraId="76C94040">
            <w:pPr>
              <w:jc w:val="center"/>
              <w:rPr>
                <w:rFonts w:ascii="宋体"/>
                <w:spacing w:val="4"/>
                <w:sz w:val="21"/>
                <w:szCs w:val="21"/>
              </w:rPr>
            </w:pPr>
          </w:p>
        </w:tc>
      </w:tr>
      <w:tr w14:paraId="0650C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99" w:type="dxa"/>
            <w:gridSpan w:val="2"/>
            <w:tcBorders>
              <w:top w:val="single" w:color="auto" w:sz="6" w:space="0"/>
              <w:left w:val="single" w:color="auto" w:sz="8" w:space="0"/>
              <w:bottom w:val="single" w:color="auto" w:sz="6" w:space="0"/>
              <w:right w:val="single" w:color="auto" w:sz="6" w:space="0"/>
            </w:tcBorders>
            <w:vAlign w:val="center"/>
          </w:tcPr>
          <w:p w14:paraId="37853B22">
            <w:pPr>
              <w:jc w:val="center"/>
              <w:rPr>
                <w:rFonts w:ascii="宋体"/>
                <w:spacing w:val="4"/>
                <w:sz w:val="21"/>
                <w:szCs w:val="21"/>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59DC6B05">
            <w:pPr>
              <w:jc w:val="center"/>
              <w:rPr>
                <w:rFonts w:ascii="宋体"/>
                <w:spacing w:val="4"/>
                <w:sz w:val="21"/>
                <w:szCs w:val="21"/>
              </w:rPr>
            </w:pPr>
          </w:p>
        </w:tc>
        <w:tc>
          <w:tcPr>
            <w:tcW w:w="1899" w:type="dxa"/>
            <w:tcBorders>
              <w:top w:val="single" w:color="auto" w:sz="6" w:space="0"/>
              <w:left w:val="single" w:color="auto" w:sz="6" w:space="0"/>
              <w:bottom w:val="single" w:color="auto" w:sz="6" w:space="0"/>
              <w:right w:val="single" w:color="auto" w:sz="6" w:space="0"/>
            </w:tcBorders>
            <w:vAlign w:val="center"/>
          </w:tcPr>
          <w:p w14:paraId="40BA867A">
            <w:pPr>
              <w:jc w:val="center"/>
              <w:rPr>
                <w:rFonts w:ascii="宋体"/>
                <w:spacing w:val="4"/>
                <w:sz w:val="21"/>
                <w:szCs w:val="21"/>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253C5859">
            <w:pPr>
              <w:jc w:val="center"/>
              <w:rPr>
                <w:rFonts w:ascii="宋体"/>
                <w:spacing w:val="4"/>
                <w:sz w:val="21"/>
                <w:szCs w:val="21"/>
              </w:rPr>
            </w:pPr>
          </w:p>
        </w:tc>
        <w:tc>
          <w:tcPr>
            <w:tcW w:w="1899" w:type="dxa"/>
            <w:gridSpan w:val="2"/>
            <w:tcBorders>
              <w:top w:val="single" w:color="auto" w:sz="6" w:space="0"/>
              <w:left w:val="single" w:color="auto" w:sz="6" w:space="0"/>
              <w:bottom w:val="single" w:color="auto" w:sz="6" w:space="0"/>
              <w:right w:val="single" w:color="auto" w:sz="8" w:space="0"/>
            </w:tcBorders>
            <w:vAlign w:val="center"/>
          </w:tcPr>
          <w:p w14:paraId="21691AFE">
            <w:pPr>
              <w:jc w:val="center"/>
              <w:rPr>
                <w:rFonts w:ascii="宋体"/>
                <w:spacing w:val="4"/>
                <w:sz w:val="21"/>
                <w:szCs w:val="21"/>
              </w:rPr>
            </w:pPr>
          </w:p>
        </w:tc>
      </w:tr>
      <w:tr w14:paraId="584E91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99" w:type="dxa"/>
            <w:gridSpan w:val="2"/>
            <w:tcBorders>
              <w:top w:val="single" w:color="auto" w:sz="6" w:space="0"/>
              <w:left w:val="single" w:color="auto" w:sz="8" w:space="0"/>
              <w:bottom w:val="single" w:color="auto" w:sz="6" w:space="0"/>
              <w:right w:val="single" w:color="auto" w:sz="6" w:space="0"/>
            </w:tcBorders>
            <w:vAlign w:val="center"/>
          </w:tcPr>
          <w:p w14:paraId="1684CA30">
            <w:pPr>
              <w:jc w:val="center"/>
              <w:rPr>
                <w:rFonts w:ascii="宋体"/>
                <w:spacing w:val="4"/>
                <w:sz w:val="21"/>
                <w:szCs w:val="21"/>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5F3AF4B8">
            <w:pPr>
              <w:jc w:val="center"/>
              <w:rPr>
                <w:rFonts w:ascii="宋体"/>
                <w:spacing w:val="4"/>
                <w:sz w:val="21"/>
                <w:szCs w:val="21"/>
              </w:rPr>
            </w:pPr>
          </w:p>
        </w:tc>
        <w:tc>
          <w:tcPr>
            <w:tcW w:w="1899" w:type="dxa"/>
            <w:tcBorders>
              <w:top w:val="single" w:color="auto" w:sz="6" w:space="0"/>
              <w:left w:val="single" w:color="auto" w:sz="6" w:space="0"/>
              <w:bottom w:val="single" w:color="auto" w:sz="6" w:space="0"/>
              <w:right w:val="single" w:color="auto" w:sz="6" w:space="0"/>
            </w:tcBorders>
            <w:vAlign w:val="center"/>
          </w:tcPr>
          <w:p w14:paraId="6735147F">
            <w:pPr>
              <w:jc w:val="center"/>
              <w:rPr>
                <w:rFonts w:ascii="宋体"/>
                <w:spacing w:val="4"/>
                <w:sz w:val="21"/>
                <w:szCs w:val="21"/>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0DD507B9">
            <w:pPr>
              <w:jc w:val="center"/>
              <w:rPr>
                <w:rFonts w:ascii="宋体"/>
                <w:spacing w:val="4"/>
                <w:sz w:val="21"/>
                <w:szCs w:val="21"/>
              </w:rPr>
            </w:pPr>
          </w:p>
        </w:tc>
        <w:tc>
          <w:tcPr>
            <w:tcW w:w="1899" w:type="dxa"/>
            <w:gridSpan w:val="2"/>
            <w:tcBorders>
              <w:top w:val="single" w:color="auto" w:sz="6" w:space="0"/>
              <w:left w:val="single" w:color="auto" w:sz="6" w:space="0"/>
              <w:bottom w:val="single" w:color="auto" w:sz="6" w:space="0"/>
              <w:right w:val="single" w:color="auto" w:sz="8" w:space="0"/>
            </w:tcBorders>
            <w:vAlign w:val="center"/>
          </w:tcPr>
          <w:p w14:paraId="1BCB35C9">
            <w:pPr>
              <w:jc w:val="center"/>
              <w:rPr>
                <w:rFonts w:ascii="宋体"/>
                <w:spacing w:val="4"/>
                <w:sz w:val="21"/>
                <w:szCs w:val="21"/>
              </w:rPr>
            </w:pPr>
          </w:p>
        </w:tc>
      </w:tr>
      <w:tr w14:paraId="26F46D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99" w:type="dxa"/>
            <w:gridSpan w:val="2"/>
            <w:tcBorders>
              <w:top w:val="single" w:color="auto" w:sz="6" w:space="0"/>
              <w:left w:val="single" w:color="auto" w:sz="8" w:space="0"/>
              <w:bottom w:val="single" w:color="auto" w:sz="6" w:space="0"/>
              <w:right w:val="single" w:color="auto" w:sz="6" w:space="0"/>
            </w:tcBorders>
            <w:vAlign w:val="center"/>
          </w:tcPr>
          <w:p w14:paraId="56FA4834">
            <w:pPr>
              <w:jc w:val="center"/>
              <w:rPr>
                <w:rFonts w:ascii="宋体"/>
                <w:spacing w:val="4"/>
                <w:sz w:val="21"/>
                <w:szCs w:val="21"/>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3F6EE225">
            <w:pPr>
              <w:jc w:val="center"/>
              <w:rPr>
                <w:rFonts w:ascii="宋体"/>
                <w:spacing w:val="4"/>
                <w:sz w:val="21"/>
                <w:szCs w:val="21"/>
              </w:rPr>
            </w:pPr>
          </w:p>
        </w:tc>
        <w:tc>
          <w:tcPr>
            <w:tcW w:w="1899" w:type="dxa"/>
            <w:tcBorders>
              <w:top w:val="single" w:color="auto" w:sz="6" w:space="0"/>
              <w:left w:val="single" w:color="auto" w:sz="6" w:space="0"/>
              <w:bottom w:val="single" w:color="auto" w:sz="6" w:space="0"/>
              <w:right w:val="single" w:color="auto" w:sz="6" w:space="0"/>
            </w:tcBorders>
            <w:vAlign w:val="center"/>
          </w:tcPr>
          <w:p w14:paraId="11F7D05B">
            <w:pPr>
              <w:jc w:val="center"/>
              <w:rPr>
                <w:rFonts w:ascii="宋体"/>
                <w:spacing w:val="4"/>
                <w:sz w:val="21"/>
                <w:szCs w:val="21"/>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27EEB830">
            <w:pPr>
              <w:jc w:val="center"/>
              <w:rPr>
                <w:rFonts w:ascii="宋体"/>
                <w:spacing w:val="4"/>
                <w:sz w:val="21"/>
                <w:szCs w:val="21"/>
              </w:rPr>
            </w:pPr>
          </w:p>
        </w:tc>
        <w:tc>
          <w:tcPr>
            <w:tcW w:w="1899" w:type="dxa"/>
            <w:gridSpan w:val="2"/>
            <w:tcBorders>
              <w:top w:val="single" w:color="auto" w:sz="6" w:space="0"/>
              <w:left w:val="single" w:color="auto" w:sz="6" w:space="0"/>
              <w:bottom w:val="single" w:color="auto" w:sz="6" w:space="0"/>
              <w:right w:val="single" w:color="auto" w:sz="8" w:space="0"/>
            </w:tcBorders>
            <w:vAlign w:val="center"/>
          </w:tcPr>
          <w:p w14:paraId="26468D70">
            <w:pPr>
              <w:jc w:val="center"/>
              <w:rPr>
                <w:rFonts w:ascii="宋体"/>
                <w:spacing w:val="4"/>
                <w:sz w:val="21"/>
                <w:szCs w:val="21"/>
              </w:rPr>
            </w:pPr>
          </w:p>
        </w:tc>
      </w:tr>
      <w:tr w14:paraId="59D959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99" w:type="dxa"/>
            <w:gridSpan w:val="2"/>
            <w:tcBorders>
              <w:top w:val="single" w:color="auto" w:sz="6" w:space="0"/>
              <w:left w:val="single" w:color="auto" w:sz="8" w:space="0"/>
              <w:bottom w:val="single" w:color="auto" w:sz="8" w:space="0"/>
              <w:right w:val="single" w:color="auto" w:sz="6" w:space="0"/>
            </w:tcBorders>
            <w:vAlign w:val="center"/>
          </w:tcPr>
          <w:p w14:paraId="1C1C72C8">
            <w:pPr>
              <w:jc w:val="center"/>
              <w:rPr>
                <w:rFonts w:ascii="宋体"/>
                <w:spacing w:val="4"/>
                <w:sz w:val="21"/>
                <w:szCs w:val="21"/>
              </w:rPr>
            </w:pPr>
          </w:p>
        </w:tc>
        <w:tc>
          <w:tcPr>
            <w:tcW w:w="1899" w:type="dxa"/>
            <w:gridSpan w:val="3"/>
            <w:tcBorders>
              <w:top w:val="single" w:color="auto" w:sz="6" w:space="0"/>
              <w:left w:val="single" w:color="auto" w:sz="6" w:space="0"/>
              <w:bottom w:val="single" w:color="auto" w:sz="8" w:space="0"/>
              <w:right w:val="single" w:color="auto" w:sz="6" w:space="0"/>
            </w:tcBorders>
            <w:vAlign w:val="center"/>
          </w:tcPr>
          <w:p w14:paraId="7C45C2E5">
            <w:pPr>
              <w:jc w:val="center"/>
              <w:rPr>
                <w:rFonts w:ascii="宋体"/>
                <w:spacing w:val="4"/>
                <w:sz w:val="21"/>
                <w:szCs w:val="21"/>
              </w:rPr>
            </w:pPr>
          </w:p>
        </w:tc>
        <w:tc>
          <w:tcPr>
            <w:tcW w:w="1899" w:type="dxa"/>
            <w:tcBorders>
              <w:top w:val="single" w:color="auto" w:sz="6" w:space="0"/>
              <w:left w:val="single" w:color="auto" w:sz="6" w:space="0"/>
              <w:bottom w:val="single" w:color="auto" w:sz="8" w:space="0"/>
              <w:right w:val="single" w:color="auto" w:sz="6" w:space="0"/>
            </w:tcBorders>
            <w:vAlign w:val="center"/>
          </w:tcPr>
          <w:p w14:paraId="0881F34B">
            <w:pPr>
              <w:jc w:val="center"/>
              <w:rPr>
                <w:rFonts w:ascii="宋体"/>
                <w:spacing w:val="4"/>
                <w:sz w:val="21"/>
                <w:szCs w:val="21"/>
              </w:rPr>
            </w:pPr>
          </w:p>
        </w:tc>
        <w:tc>
          <w:tcPr>
            <w:tcW w:w="1899" w:type="dxa"/>
            <w:gridSpan w:val="3"/>
            <w:tcBorders>
              <w:top w:val="single" w:color="auto" w:sz="6" w:space="0"/>
              <w:left w:val="single" w:color="auto" w:sz="6" w:space="0"/>
              <w:bottom w:val="single" w:color="auto" w:sz="8" w:space="0"/>
              <w:right w:val="single" w:color="auto" w:sz="6" w:space="0"/>
            </w:tcBorders>
            <w:vAlign w:val="center"/>
          </w:tcPr>
          <w:p w14:paraId="6599F0CA">
            <w:pPr>
              <w:jc w:val="center"/>
              <w:rPr>
                <w:rFonts w:ascii="宋体"/>
                <w:spacing w:val="4"/>
                <w:sz w:val="21"/>
                <w:szCs w:val="21"/>
              </w:rPr>
            </w:pPr>
          </w:p>
        </w:tc>
        <w:tc>
          <w:tcPr>
            <w:tcW w:w="1899" w:type="dxa"/>
            <w:gridSpan w:val="2"/>
            <w:tcBorders>
              <w:top w:val="single" w:color="auto" w:sz="6" w:space="0"/>
              <w:left w:val="single" w:color="auto" w:sz="6" w:space="0"/>
              <w:bottom w:val="single" w:color="auto" w:sz="8" w:space="0"/>
              <w:right w:val="single" w:color="auto" w:sz="8" w:space="0"/>
            </w:tcBorders>
            <w:vAlign w:val="center"/>
          </w:tcPr>
          <w:p w14:paraId="74A91458">
            <w:pPr>
              <w:jc w:val="center"/>
              <w:rPr>
                <w:rFonts w:ascii="宋体"/>
                <w:spacing w:val="4"/>
                <w:sz w:val="21"/>
                <w:szCs w:val="21"/>
              </w:rPr>
            </w:pPr>
          </w:p>
        </w:tc>
      </w:tr>
      <w:tr w14:paraId="61C9F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899" w:type="dxa"/>
            <w:gridSpan w:val="2"/>
            <w:tcBorders>
              <w:top w:val="single" w:color="auto" w:sz="8" w:space="0"/>
              <w:left w:val="single" w:color="auto" w:sz="8" w:space="0"/>
              <w:bottom w:val="single" w:color="auto" w:sz="6" w:space="0"/>
              <w:right w:val="single" w:color="auto" w:sz="6" w:space="0"/>
            </w:tcBorders>
            <w:vAlign w:val="center"/>
          </w:tcPr>
          <w:p w14:paraId="67064B8F">
            <w:pPr>
              <w:spacing w:line="300" w:lineRule="exact"/>
              <w:jc w:val="center"/>
              <w:rPr>
                <w:rFonts w:asciiTheme="minorEastAsia" w:hAnsiTheme="minorEastAsia" w:eastAsiaTheme="minorEastAsia"/>
                <w:spacing w:val="4"/>
                <w:sz w:val="24"/>
                <w:szCs w:val="21"/>
              </w:rPr>
            </w:pPr>
            <w:r>
              <w:rPr>
                <w:rFonts w:hint="eastAsia" w:asciiTheme="minorEastAsia" w:hAnsiTheme="minorEastAsia" w:eastAsiaTheme="minorEastAsia"/>
                <w:spacing w:val="30"/>
                <w:kern w:val="0"/>
                <w:sz w:val="24"/>
                <w:szCs w:val="21"/>
              </w:rPr>
              <w:t>单位人事</w:t>
            </w:r>
          </w:p>
          <w:p w14:paraId="0C2634E8">
            <w:pPr>
              <w:spacing w:line="300" w:lineRule="exact"/>
              <w:jc w:val="center"/>
              <w:rPr>
                <w:rFonts w:asciiTheme="minorEastAsia" w:hAnsiTheme="minorEastAsia" w:eastAsiaTheme="minorEastAsia"/>
                <w:spacing w:val="4"/>
                <w:sz w:val="24"/>
                <w:szCs w:val="21"/>
              </w:rPr>
            </w:pPr>
            <w:r>
              <w:rPr>
                <w:rFonts w:hint="eastAsia" w:asciiTheme="minorEastAsia" w:hAnsiTheme="minorEastAsia" w:eastAsiaTheme="minorEastAsia"/>
                <w:spacing w:val="4"/>
                <w:sz w:val="24"/>
                <w:szCs w:val="21"/>
              </w:rPr>
              <w:t>部门</w:t>
            </w:r>
            <w:r>
              <w:rPr>
                <w:rFonts w:hint="eastAsia" w:asciiTheme="minorEastAsia" w:hAnsiTheme="minorEastAsia" w:eastAsiaTheme="minorEastAsia"/>
                <w:kern w:val="0"/>
                <w:sz w:val="24"/>
                <w:szCs w:val="21"/>
              </w:rPr>
              <w:t>负责人</w:t>
            </w:r>
          </w:p>
        </w:tc>
        <w:tc>
          <w:tcPr>
            <w:tcW w:w="1899" w:type="dxa"/>
            <w:gridSpan w:val="3"/>
            <w:tcBorders>
              <w:top w:val="single" w:color="auto" w:sz="8" w:space="0"/>
              <w:left w:val="single" w:color="auto" w:sz="6" w:space="0"/>
              <w:bottom w:val="single" w:color="auto" w:sz="6" w:space="0"/>
              <w:right w:val="single" w:color="auto" w:sz="6" w:space="0"/>
            </w:tcBorders>
            <w:vAlign w:val="center"/>
          </w:tcPr>
          <w:p w14:paraId="007C31C5">
            <w:pPr>
              <w:jc w:val="center"/>
              <w:rPr>
                <w:rFonts w:ascii="宋体"/>
                <w:spacing w:val="4"/>
                <w:sz w:val="21"/>
                <w:szCs w:val="21"/>
              </w:rPr>
            </w:pPr>
          </w:p>
        </w:tc>
        <w:tc>
          <w:tcPr>
            <w:tcW w:w="1899" w:type="dxa"/>
            <w:tcBorders>
              <w:top w:val="single" w:color="auto" w:sz="8" w:space="0"/>
              <w:left w:val="single" w:color="auto" w:sz="6" w:space="0"/>
              <w:bottom w:val="single" w:color="auto" w:sz="6" w:space="0"/>
              <w:right w:val="single" w:color="auto" w:sz="6" w:space="0"/>
            </w:tcBorders>
            <w:vAlign w:val="center"/>
          </w:tcPr>
          <w:p w14:paraId="3B8A7B53">
            <w:pPr>
              <w:jc w:val="center"/>
              <w:rPr>
                <w:rFonts w:ascii="宋体"/>
                <w:spacing w:val="4"/>
                <w:sz w:val="21"/>
                <w:szCs w:val="21"/>
              </w:rPr>
            </w:pPr>
          </w:p>
        </w:tc>
        <w:tc>
          <w:tcPr>
            <w:tcW w:w="1899" w:type="dxa"/>
            <w:gridSpan w:val="3"/>
            <w:tcBorders>
              <w:top w:val="single" w:color="auto" w:sz="8" w:space="0"/>
              <w:left w:val="single" w:color="auto" w:sz="6" w:space="0"/>
              <w:bottom w:val="single" w:color="auto" w:sz="6" w:space="0"/>
              <w:right w:val="single" w:color="auto" w:sz="6" w:space="0"/>
            </w:tcBorders>
            <w:vAlign w:val="center"/>
          </w:tcPr>
          <w:p w14:paraId="50F985C4">
            <w:pPr>
              <w:jc w:val="center"/>
              <w:rPr>
                <w:rFonts w:ascii="宋体"/>
                <w:spacing w:val="4"/>
                <w:sz w:val="21"/>
                <w:szCs w:val="21"/>
              </w:rPr>
            </w:pPr>
          </w:p>
        </w:tc>
        <w:tc>
          <w:tcPr>
            <w:tcW w:w="1899" w:type="dxa"/>
            <w:gridSpan w:val="2"/>
            <w:tcBorders>
              <w:top w:val="single" w:color="auto" w:sz="8" w:space="0"/>
              <w:left w:val="single" w:color="auto" w:sz="6" w:space="0"/>
              <w:bottom w:val="single" w:color="auto" w:sz="6" w:space="0"/>
              <w:right w:val="single" w:color="auto" w:sz="8" w:space="0"/>
            </w:tcBorders>
            <w:vAlign w:val="center"/>
          </w:tcPr>
          <w:p w14:paraId="593F137C">
            <w:pPr>
              <w:jc w:val="center"/>
              <w:rPr>
                <w:rFonts w:ascii="宋体"/>
                <w:spacing w:val="4"/>
                <w:sz w:val="21"/>
                <w:szCs w:val="21"/>
              </w:rPr>
            </w:pPr>
          </w:p>
        </w:tc>
      </w:tr>
      <w:tr w14:paraId="309C3A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899" w:type="dxa"/>
            <w:gridSpan w:val="2"/>
            <w:tcBorders>
              <w:top w:val="single" w:color="auto" w:sz="6" w:space="0"/>
              <w:left w:val="single" w:color="auto" w:sz="8" w:space="0"/>
              <w:bottom w:val="single" w:color="auto" w:sz="8" w:space="0"/>
              <w:right w:val="single" w:color="auto" w:sz="6" w:space="0"/>
            </w:tcBorders>
            <w:vAlign w:val="center"/>
          </w:tcPr>
          <w:p w14:paraId="32ED4176">
            <w:pPr>
              <w:jc w:val="center"/>
              <w:rPr>
                <w:rFonts w:asciiTheme="minorEastAsia" w:hAnsiTheme="minorEastAsia" w:eastAsiaTheme="minorEastAsia"/>
                <w:spacing w:val="4"/>
                <w:sz w:val="24"/>
                <w:szCs w:val="21"/>
              </w:rPr>
            </w:pPr>
            <w:r>
              <w:rPr>
                <w:rFonts w:hint="eastAsia" w:asciiTheme="minorEastAsia" w:hAnsiTheme="minorEastAsia" w:eastAsiaTheme="minorEastAsia"/>
                <w:spacing w:val="30"/>
                <w:kern w:val="0"/>
                <w:sz w:val="24"/>
                <w:szCs w:val="21"/>
              </w:rPr>
              <w:t>单位领导</w:t>
            </w:r>
          </w:p>
        </w:tc>
        <w:tc>
          <w:tcPr>
            <w:tcW w:w="1899" w:type="dxa"/>
            <w:gridSpan w:val="3"/>
            <w:tcBorders>
              <w:top w:val="single" w:color="auto" w:sz="6" w:space="0"/>
              <w:left w:val="single" w:color="auto" w:sz="6" w:space="0"/>
              <w:bottom w:val="single" w:color="auto" w:sz="8" w:space="0"/>
              <w:right w:val="single" w:color="auto" w:sz="6" w:space="0"/>
            </w:tcBorders>
            <w:vAlign w:val="center"/>
          </w:tcPr>
          <w:p w14:paraId="562CF1DB">
            <w:pPr>
              <w:jc w:val="center"/>
              <w:rPr>
                <w:rFonts w:ascii="宋体"/>
                <w:spacing w:val="4"/>
                <w:sz w:val="21"/>
                <w:szCs w:val="21"/>
              </w:rPr>
            </w:pPr>
          </w:p>
        </w:tc>
        <w:tc>
          <w:tcPr>
            <w:tcW w:w="1899" w:type="dxa"/>
            <w:tcBorders>
              <w:top w:val="single" w:color="auto" w:sz="6" w:space="0"/>
              <w:left w:val="single" w:color="auto" w:sz="6" w:space="0"/>
              <w:bottom w:val="single" w:color="auto" w:sz="8" w:space="0"/>
              <w:right w:val="single" w:color="auto" w:sz="6" w:space="0"/>
            </w:tcBorders>
            <w:vAlign w:val="center"/>
          </w:tcPr>
          <w:p w14:paraId="6369ED87">
            <w:pPr>
              <w:jc w:val="center"/>
              <w:rPr>
                <w:rFonts w:ascii="宋体"/>
                <w:spacing w:val="4"/>
                <w:sz w:val="21"/>
                <w:szCs w:val="21"/>
              </w:rPr>
            </w:pPr>
          </w:p>
        </w:tc>
        <w:tc>
          <w:tcPr>
            <w:tcW w:w="1899" w:type="dxa"/>
            <w:gridSpan w:val="3"/>
            <w:tcBorders>
              <w:top w:val="single" w:color="auto" w:sz="6" w:space="0"/>
              <w:left w:val="single" w:color="auto" w:sz="6" w:space="0"/>
              <w:bottom w:val="single" w:color="auto" w:sz="8" w:space="0"/>
              <w:right w:val="single" w:color="auto" w:sz="6" w:space="0"/>
            </w:tcBorders>
            <w:vAlign w:val="center"/>
          </w:tcPr>
          <w:p w14:paraId="67BCF2D1">
            <w:pPr>
              <w:jc w:val="center"/>
              <w:rPr>
                <w:rFonts w:ascii="宋体"/>
                <w:spacing w:val="4"/>
                <w:sz w:val="21"/>
                <w:szCs w:val="21"/>
              </w:rPr>
            </w:pPr>
          </w:p>
        </w:tc>
        <w:tc>
          <w:tcPr>
            <w:tcW w:w="1899" w:type="dxa"/>
            <w:gridSpan w:val="2"/>
            <w:tcBorders>
              <w:top w:val="single" w:color="auto" w:sz="6" w:space="0"/>
              <w:left w:val="single" w:color="auto" w:sz="6" w:space="0"/>
              <w:bottom w:val="single" w:color="auto" w:sz="8" w:space="0"/>
              <w:right w:val="single" w:color="auto" w:sz="8" w:space="0"/>
            </w:tcBorders>
            <w:vAlign w:val="center"/>
          </w:tcPr>
          <w:p w14:paraId="49C24BF1">
            <w:pPr>
              <w:jc w:val="center"/>
              <w:rPr>
                <w:rFonts w:ascii="宋体"/>
                <w:spacing w:val="4"/>
                <w:sz w:val="21"/>
                <w:szCs w:val="21"/>
              </w:rPr>
            </w:pPr>
          </w:p>
        </w:tc>
      </w:tr>
      <w:bookmarkEnd w:id="2"/>
      <w:bookmarkEnd w:id="3"/>
    </w:tbl>
    <w:p w14:paraId="57E74957">
      <w:pPr>
        <w:spacing w:line="360" w:lineRule="exact"/>
        <w:ind w:left="1246" w:leftChars="114" w:hanging="871" w:hangingChars="350"/>
        <w:rPr>
          <w:rFonts w:ascii="宋体" w:hAnsi="宋体" w:eastAsia="宋体"/>
          <w:sz w:val="24"/>
        </w:rPr>
      </w:pPr>
      <w:r>
        <w:rPr>
          <w:rFonts w:hint="eastAsia" w:ascii="宋体" w:hAnsi="宋体" w:eastAsia="宋体"/>
          <w:sz w:val="24"/>
        </w:rPr>
        <w:t>注：1．单位人数少的由全体专业技术人员签名，人数较多的可由下属二级单位推选出一定数量的代表签名。</w:t>
      </w:r>
    </w:p>
    <w:p w14:paraId="4661F911">
      <w:pPr>
        <w:spacing w:line="360" w:lineRule="exact"/>
        <w:ind w:left="1243" w:leftChars="266" w:hanging="368" w:hangingChars="148"/>
        <w:rPr>
          <w:rFonts w:ascii="宋体" w:hAnsi="宋体" w:eastAsia="宋体"/>
          <w:sz w:val="24"/>
        </w:rPr>
      </w:pPr>
      <w:r>
        <w:rPr>
          <w:rFonts w:hint="eastAsia" w:ascii="宋体" w:hAnsi="宋体" w:eastAsia="宋体"/>
          <w:sz w:val="24"/>
        </w:rPr>
        <w:t>2．未签名人员要另外注明原因。</w:t>
      </w:r>
    </w:p>
    <w:p w14:paraId="5519AA79">
      <w:pPr>
        <w:spacing w:line="360" w:lineRule="exact"/>
        <w:ind w:left="1243" w:leftChars="266" w:hanging="368" w:hangingChars="148"/>
        <w:rPr>
          <w:rFonts w:ascii="宋体" w:hAnsi="宋体" w:eastAsia="宋体"/>
          <w:sz w:val="24"/>
        </w:rPr>
      </w:pPr>
      <w:r>
        <w:rPr>
          <w:rFonts w:hint="eastAsia" w:ascii="宋体" w:hAnsi="宋体" w:eastAsia="宋体"/>
          <w:sz w:val="24"/>
        </w:rPr>
        <w:t>3．此卡报相应评审委员会和人事部门各一份。</w:t>
      </w:r>
    </w:p>
    <w:p w14:paraId="695F483A">
      <w:pPr>
        <w:jc w:val="right"/>
        <w:rPr>
          <w:rFonts w:hint="eastAsia" w:eastAsia="黑体"/>
          <w:sz w:val="24"/>
        </w:rPr>
      </w:pPr>
      <w:r>
        <w:rPr>
          <w:rFonts w:hint="eastAsia" w:eastAsia="黑体"/>
          <w:sz w:val="24"/>
        </w:rPr>
        <w:t>山东省人力资源和社会保障厅制</w:t>
      </w:r>
      <w:bookmarkEnd w:id="0"/>
      <w:bookmarkEnd w:id="1"/>
    </w:p>
    <w:p w14:paraId="6787DA2C">
      <w:pPr>
        <w:rPr>
          <w:rFonts w:hint="eastAsia" w:eastAsia="黑体"/>
          <w:sz w:val="24"/>
        </w:rPr>
      </w:pPr>
      <w:r>
        <w:rPr>
          <w:rFonts w:hint="eastAsia" w:eastAsia="黑体"/>
          <w:sz w:val="24"/>
        </w:rPr>
        <w:br w:type="page"/>
      </w:r>
    </w:p>
    <w:p w14:paraId="4C5A4ED0">
      <w:pPr>
        <w:spacing w:line="600" w:lineRule="exact"/>
        <w:outlineLvl w:val="0"/>
        <w:rPr>
          <w:rFonts w:ascii="黑体" w:hAnsi="黑体" w:eastAsia="黑体"/>
          <w:szCs w:val="32"/>
        </w:rPr>
      </w:pPr>
      <w:r>
        <w:rPr>
          <w:rFonts w:hint="eastAsia" w:ascii="黑体" w:hAnsi="黑体" w:eastAsia="黑体"/>
          <w:szCs w:val="32"/>
        </w:rPr>
        <w:t>附件</w:t>
      </w:r>
      <w:r>
        <w:rPr>
          <w:rFonts w:ascii="黑体" w:hAnsi="黑体" w:eastAsia="黑体"/>
          <w:szCs w:val="32"/>
        </w:rPr>
        <w:t>3</w:t>
      </w:r>
    </w:p>
    <w:p w14:paraId="0B83B0CF">
      <w:pPr>
        <w:overflowPunct w:val="0"/>
        <w:spacing w:line="580" w:lineRule="exact"/>
        <w:ind w:firstLine="529" w:firstLineChars="161"/>
        <w:jc w:val="left"/>
        <w:rPr>
          <w:rFonts w:ascii="仿宋_GB2312" w:hAnsi="宋体"/>
        </w:rPr>
      </w:pPr>
    </w:p>
    <w:p w14:paraId="1C6305CD">
      <w:pPr>
        <w:overflowPunct w:val="0"/>
        <w:spacing w:line="58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山东省会计人员高级会计师职称标准条件</w:t>
      </w:r>
    </w:p>
    <w:p w14:paraId="4C3499EE">
      <w:pPr>
        <w:overflowPunct w:val="0"/>
        <w:spacing w:line="580" w:lineRule="exact"/>
        <w:ind w:firstLine="400" w:firstLineChars="161"/>
        <w:jc w:val="center"/>
        <w:rPr>
          <w:rFonts w:ascii="宋体" w:hAnsi="宋体"/>
          <w:b/>
          <w:sz w:val="24"/>
        </w:rPr>
      </w:pPr>
    </w:p>
    <w:p w14:paraId="4BE21724">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ascii="黑体" w:hAnsi="黑体" w:eastAsia="黑体"/>
          <w:szCs w:val="32"/>
        </w:rPr>
      </w:pPr>
      <w:r>
        <w:rPr>
          <w:rFonts w:hint="eastAsia" w:ascii="黑体" w:hAnsi="黑体" w:eastAsia="黑体"/>
          <w:szCs w:val="32"/>
        </w:rPr>
        <w:t>第一章</w:t>
      </w:r>
      <w:r>
        <w:rPr>
          <w:rFonts w:ascii="黑体" w:hAnsi="黑体" w:eastAsia="黑体"/>
          <w:szCs w:val="32"/>
        </w:rPr>
        <w:t xml:space="preserve">  </w:t>
      </w:r>
      <w:r>
        <w:rPr>
          <w:rFonts w:hint="eastAsia" w:ascii="黑体" w:hAnsi="黑体" w:eastAsia="黑体"/>
          <w:szCs w:val="32"/>
        </w:rPr>
        <w:t>总</w:t>
      </w:r>
      <w:r>
        <w:rPr>
          <w:rFonts w:ascii="黑体" w:hAnsi="黑体" w:eastAsia="黑体"/>
          <w:szCs w:val="32"/>
        </w:rPr>
        <w:t xml:space="preserve">  </w:t>
      </w:r>
      <w:r>
        <w:rPr>
          <w:rFonts w:hint="eastAsia" w:ascii="黑体" w:hAnsi="黑体" w:eastAsia="黑体"/>
          <w:szCs w:val="32"/>
        </w:rPr>
        <w:t>则</w:t>
      </w:r>
    </w:p>
    <w:p w14:paraId="075AA70F">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hAnsi="宋体"/>
          <w:szCs w:val="32"/>
        </w:rPr>
      </w:pPr>
    </w:p>
    <w:p w14:paraId="461BCE6F">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黑体" w:hAnsi="黑体" w:eastAsia="黑体" w:cs="黑体"/>
        </w:rPr>
        <w:t>第一条</w:t>
      </w:r>
      <w:r>
        <w:rPr>
          <w:rFonts w:hint="eastAsia" w:ascii="仿宋_GB2312"/>
        </w:rPr>
        <w:t xml:space="preserve">  为落实国家和我省会计系列职称改革相关规定，加强我省高层次会计人才队伍建设，根据《中华人民共和国会计法》《人力资源社会保障部  财政部关于深化会计人员职称制度改革的指导意见》（人社部发〔2019〕8号）等，结合我省实际，制定本标准条件。</w:t>
      </w:r>
    </w:p>
    <w:p w14:paraId="38203D0D">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黑体" w:hAnsi="黑体" w:eastAsia="黑体" w:cs="黑体"/>
        </w:rPr>
        <w:t>第二条</w:t>
      </w:r>
      <w:r>
        <w:rPr>
          <w:rFonts w:hint="eastAsia" w:ascii="仿宋_GB2312"/>
        </w:rPr>
        <w:t xml:space="preserve">  本标准条件适用于全省范围从事会计及相关工作的在职在岗专业技术人员,不包含公务员、参照公务员法管理的人员、离退休人员。</w:t>
      </w:r>
    </w:p>
    <w:p w14:paraId="2372E2BE">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黑体" w:hAnsi="黑体" w:eastAsia="黑体" w:cs="黑体"/>
        </w:rPr>
        <w:t>第三条</w:t>
      </w:r>
      <w:r>
        <w:rPr>
          <w:rFonts w:hint="eastAsia" w:ascii="仿宋_GB2312"/>
        </w:rPr>
        <w:t xml:space="preserve">  高级会计师职称实行考试与评审相结合的评价制度。凡申请参评高级会计师职称的人员，须参加全国统一组织的会计专业技术高级资格考试，成绩合格并在有效期内。</w:t>
      </w:r>
    </w:p>
    <w:p w14:paraId="0ADDD5E0">
      <w:pPr>
        <w:keepNext w:val="0"/>
        <w:keepLines w:val="0"/>
        <w:pageBreakBefore w:val="0"/>
        <w:widowControl w:val="0"/>
        <w:kinsoku/>
        <w:wordWrap/>
        <w:overflowPunct w:val="0"/>
        <w:topLinePunct w:val="0"/>
        <w:autoSpaceDE/>
        <w:autoSpaceDN/>
        <w:bidi w:val="0"/>
        <w:adjustRightInd/>
        <w:snapToGrid/>
        <w:spacing w:line="600" w:lineRule="exact"/>
        <w:jc w:val="both"/>
        <w:textAlignment w:val="auto"/>
        <w:rPr>
          <w:rFonts w:ascii="仿宋_GB2312"/>
        </w:rPr>
      </w:pPr>
    </w:p>
    <w:p w14:paraId="4DC1CD2D">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ascii="黑体" w:hAnsi="黑体" w:eastAsia="黑体" w:cs="黑体"/>
        </w:rPr>
      </w:pPr>
      <w:r>
        <w:rPr>
          <w:rFonts w:hint="eastAsia" w:ascii="黑体" w:hAnsi="黑体" w:eastAsia="黑体" w:cs="黑体"/>
        </w:rPr>
        <w:t>第二章  标准条件</w:t>
      </w:r>
    </w:p>
    <w:p w14:paraId="63B8A799">
      <w:pPr>
        <w:keepNext w:val="0"/>
        <w:keepLines w:val="0"/>
        <w:pageBreakBefore w:val="0"/>
        <w:widowControl w:val="0"/>
        <w:kinsoku/>
        <w:wordWrap/>
        <w:overflowPunct w:val="0"/>
        <w:topLinePunct w:val="0"/>
        <w:autoSpaceDE/>
        <w:autoSpaceDN/>
        <w:bidi w:val="0"/>
        <w:adjustRightInd/>
        <w:snapToGrid/>
        <w:spacing w:line="600" w:lineRule="exact"/>
        <w:jc w:val="both"/>
        <w:textAlignment w:val="auto"/>
        <w:rPr>
          <w:rFonts w:ascii="仿宋_GB2312"/>
        </w:rPr>
      </w:pPr>
    </w:p>
    <w:p w14:paraId="132AB8E1">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黑体" w:hAnsi="黑体" w:eastAsia="黑体" w:cs="黑体"/>
        </w:rPr>
        <w:t>第四条</w:t>
      </w:r>
      <w:r>
        <w:rPr>
          <w:rFonts w:hint="eastAsia" w:ascii="仿宋_GB2312"/>
        </w:rPr>
        <w:t xml:space="preserve">  基本条件</w:t>
      </w:r>
    </w:p>
    <w:p w14:paraId="3642A90C">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仿宋_GB2312"/>
        </w:rPr>
        <w:t>申报高级职称应具备下列基本条件：</w:t>
      </w:r>
    </w:p>
    <w:p w14:paraId="44E8D52C">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仿宋_GB2312"/>
        </w:rPr>
        <w:t>（一）拥护中国共产党的领导，贯彻党的路线、方针、政策。</w:t>
      </w:r>
    </w:p>
    <w:p w14:paraId="5239A6D2">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仿宋_GB2312"/>
        </w:rPr>
        <w:t>（二）遵纪守法，认真执行《中华人民共和国会计法》和国家统一的会计制度。</w:t>
      </w:r>
    </w:p>
    <w:p w14:paraId="3779A7A5">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仿宋_GB2312"/>
        </w:rPr>
        <w:t>（三）恪守职业道德，践行《会计人员职业道德规范》，维护国家财经纪律和经济秩序，自觉抵制会计造假行为。</w:t>
      </w:r>
    </w:p>
    <w:p w14:paraId="528F2DCE">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仿宋_GB2312"/>
        </w:rPr>
        <w:t>（四）精通业务，具备相应的会计专业知识和业务技能。</w:t>
      </w:r>
    </w:p>
    <w:p w14:paraId="72669D32">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仿宋_GB2312"/>
        </w:rPr>
        <w:t>（五）爱岗敬业，近5年各年度考核均为合格（称职）以上。</w:t>
      </w:r>
    </w:p>
    <w:p w14:paraId="6B07B129">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仿宋_GB2312"/>
        </w:rPr>
        <w:t>（六）勤于学习，按规定完成近5个年度的会计专业技术人员继续教育。</w:t>
      </w:r>
    </w:p>
    <w:p w14:paraId="18DDF0E1">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黑体" w:hAnsi="黑体" w:eastAsia="黑体" w:cs="黑体"/>
        </w:rPr>
        <w:t>第五条</w:t>
      </w:r>
      <w:r>
        <w:rPr>
          <w:rFonts w:hint="eastAsia" w:ascii="仿宋_GB2312"/>
        </w:rPr>
        <w:t xml:space="preserve">  学历（学位）及资历</w:t>
      </w:r>
    </w:p>
    <w:p w14:paraId="149E6144">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仿宋_GB2312"/>
        </w:rPr>
        <w:t>符合下列条件之一，可报考高级会计师职称：</w:t>
      </w:r>
    </w:p>
    <w:p w14:paraId="0DA3B124">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仿宋_GB2312"/>
        </w:rPr>
        <w:t>（一）具备博士研究生学历或博士学位，取得会计师职称后，从事与会计师职责相关工作满2年。</w:t>
      </w:r>
    </w:p>
    <w:p w14:paraId="444C0E86">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仿宋_GB2312"/>
        </w:rPr>
        <w:t>（二）具备硕士研究生学历或硕士学位，大学本科学历或学士学位，第二学士学位或研究生班毕业，取得会计师职称后，从事与会计师职责相关工作满5年。</w:t>
      </w:r>
    </w:p>
    <w:p w14:paraId="4553ADB8">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仿宋_GB2312"/>
        </w:rPr>
        <w:t>（三）具备大学专科学历，取得会计师职称后，从事与会计师职责相关工作满10年。</w:t>
      </w:r>
    </w:p>
    <w:p w14:paraId="5658B609">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黑体" w:hAnsi="黑体" w:eastAsia="黑体" w:cs="黑体"/>
        </w:rPr>
        <w:t>第六条</w:t>
      </w:r>
      <w:r>
        <w:rPr>
          <w:rFonts w:hint="eastAsia" w:ascii="仿宋_GB2312"/>
        </w:rPr>
        <w:t xml:space="preserve">  工作业绩成果</w:t>
      </w:r>
    </w:p>
    <w:p w14:paraId="4199EAB5">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仿宋_GB2312"/>
        </w:rPr>
        <w:t>具有较高的政策水平和丰富的会计工作经验，能独立负责某领域或单位的会计工作，有效提高会计管理水平或经济效益，取得会计师职称后，工作业绩突出，具备下列条件之一：</w:t>
      </w:r>
    </w:p>
    <w:p w14:paraId="3BBB94E7">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仿宋_GB2312"/>
        </w:rPr>
        <w:t>（一）主持拟定、修订本系统、单位财务制度、会计管理制度、内部控制制度、会计岗位操作规程、会计监督检查方案、数字财务实施方案、绩效评价方案等，且已实施，效果显著。</w:t>
      </w:r>
    </w:p>
    <w:p w14:paraId="154D2AAE">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仿宋_GB2312"/>
        </w:rPr>
        <w:t>（二）</w:t>
      </w:r>
      <w:r>
        <w:rPr>
          <w:rFonts w:hint="eastAsia" w:ascii="仿宋_GB2312"/>
          <w:spacing w:val="-4"/>
        </w:rPr>
        <w:t>立足会计工作，参与单位经营决策与内部管理活动，提出解决经营管理中疑难问题或关键问题的合理化建议，在增收节支、预算管理、资金管控、资产管理等方面有重要贡献，成效显著。</w:t>
      </w:r>
    </w:p>
    <w:p w14:paraId="2B422A4E">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仿宋_GB2312"/>
        </w:rPr>
        <w:t>（三）在会计中介机构作为负责人或主要完成人高质量完成大中型企业年度审计、资产评估、财务管理咨询、绩效评价等2项以上，得到业内认可。</w:t>
      </w:r>
    </w:p>
    <w:p w14:paraId="63229C3B">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仿宋_GB2312"/>
        </w:rPr>
        <w:t>（四）主持或作为主要完成人完成市级以上重点工程、技改项目的经济可行性论证1项以上。</w:t>
      </w:r>
    </w:p>
    <w:p w14:paraId="30434570">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仿宋_GB2312"/>
        </w:rPr>
        <w:t>（五）主持或参与企业并购重组、上市、投融资、改制、清算等决策分析工作，发挥重要作用，取得良好经济效益。</w:t>
      </w:r>
    </w:p>
    <w:p w14:paraId="037BD856">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仿宋_GB2312"/>
        </w:rPr>
        <w:t>（六）作为第一撰稿人，撰写过2篇以上对本单位业务具有指导意义的财务分析报告或会计相关专题调研报告。</w:t>
      </w:r>
    </w:p>
    <w:p w14:paraId="606B4977">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仿宋_GB2312"/>
        </w:rPr>
        <w:t>（七）因会计相关工作，获省级以上行业主管部门或市级以上党委政府表彰。</w:t>
      </w:r>
    </w:p>
    <w:p w14:paraId="23CAA349">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黑体" w:hAnsi="黑体" w:eastAsia="黑体" w:cs="黑体"/>
        </w:rPr>
        <w:t>第七条</w:t>
      </w:r>
      <w:r>
        <w:rPr>
          <w:rFonts w:hint="eastAsia" w:ascii="仿宋_GB2312"/>
        </w:rPr>
        <w:t xml:space="preserve">  理论研究成果</w:t>
      </w:r>
    </w:p>
    <w:p w14:paraId="27FE833E">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仿宋_GB2312"/>
        </w:rPr>
        <w:t>系统掌握和应用经济与管理理论、财务会计理论，具有较强的科研能力并取得相应的会计相关研究成果，取得会计师职称后，具备下列条件之一：</w:t>
      </w:r>
    </w:p>
    <w:p w14:paraId="4CEA0A9C">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仿宋_GB2312"/>
        </w:rPr>
        <w:t>（一）独立或作为第一作者在公开发行的期刊上发表有较高学术价值的会计相关论文2篇以上或在核心期刊上发表会计相关论文1篇以上。</w:t>
      </w:r>
    </w:p>
    <w:p w14:paraId="75168116">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仿宋_GB2312"/>
        </w:rPr>
        <w:t>（二）独著、合著并公开出版具有较高学术价值的原创性会计相关学术著作或译著1部以上，本人撰写部分不少于50000字。</w:t>
      </w:r>
    </w:p>
    <w:p w14:paraId="4967DE53">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仿宋_GB2312"/>
        </w:rPr>
        <w:t>（三）作为主编公开出版具有较高学术价值的会计类书籍1部以上，发行量不少于2000册。</w:t>
      </w:r>
    </w:p>
    <w:p w14:paraId="47B5ADBD">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仿宋_GB2312"/>
        </w:rPr>
        <w:t>（四）主持或作为主要完成人完成省级以上行政部门会计相关的课题或研究成果、调研报告、会计优秀案例1项以上，或省哲学社会科学工作办公室会计相关课题1项以上，或市哲学社会科学工作办公室、社会科学界联合会会计相关课题或研究成果2项以上，并已结项。</w:t>
      </w:r>
    </w:p>
    <w:p w14:paraId="02DF15E8">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仿宋_GB2312"/>
        </w:rPr>
        <w:t>（五）作为主要完成人完成中国会计学会课题1项以上或获得省级专业学会（协会）会计相关课题二等奖以上1项以上，并已结项。</w:t>
      </w:r>
    </w:p>
    <w:p w14:paraId="0F4899FE">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仿宋_GB2312"/>
        </w:rPr>
        <w:t>（六）独立或作为第一作者完成的会计相关论文获省会计学会论文竞赛二等奖以上2篇以上。</w:t>
      </w:r>
    </w:p>
    <w:p w14:paraId="71E48A8E">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仿宋_GB2312"/>
        </w:rPr>
        <w:t>（七）入选省级高端会计人才培养工程，完成所有课程学习，取得毕业证书。</w:t>
      </w:r>
    </w:p>
    <w:p w14:paraId="23788FB8">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仿宋_GB2312"/>
        </w:rPr>
        <w:t>（八）在乡镇单位（不含城区街道办事处和派出机构）从事会计工作8年以上的人员，其岗位实践性、操作性强的，可提交2份本人撰写的与本区域、本单位会计工作相关的较高水平的专题方案、会计案例、分析报告等替代理论研究成果。</w:t>
      </w:r>
    </w:p>
    <w:p w14:paraId="2B6D9476">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黑体" w:hAnsi="黑体" w:eastAsia="黑体" w:cs="黑体"/>
        </w:rPr>
        <w:t>第八条</w:t>
      </w:r>
      <w:r>
        <w:rPr>
          <w:rFonts w:hint="eastAsia" w:ascii="仿宋_GB2312"/>
        </w:rPr>
        <w:t xml:space="preserve">  免试条件</w:t>
      </w:r>
    </w:p>
    <w:p w14:paraId="73926641">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仿宋_GB2312"/>
        </w:rPr>
        <w:t>在山东省注册会计师协会注册的注册会计师（含非执业会员），符合“第五条  学历（学位）及资历”规定，自注册之日起，从事会计工作2年以上，可免于参加全国会计专业技术高级资格考试。</w:t>
      </w:r>
    </w:p>
    <w:p w14:paraId="31E3C984">
      <w:pPr>
        <w:keepNext w:val="0"/>
        <w:keepLines w:val="0"/>
        <w:pageBreakBefore w:val="0"/>
        <w:widowControl w:val="0"/>
        <w:kinsoku/>
        <w:wordWrap/>
        <w:overflowPunct w:val="0"/>
        <w:topLinePunct w:val="0"/>
        <w:autoSpaceDE/>
        <w:autoSpaceDN/>
        <w:bidi w:val="0"/>
        <w:adjustRightInd/>
        <w:snapToGrid/>
        <w:spacing w:line="600" w:lineRule="exact"/>
        <w:jc w:val="both"/>
        <w:textAlignment w:val="auto"/>
        <w:rPr>
          <w:rFonts w:ascii="仿宋_GB2312"/>
        </w:rPr>
      </w:pPr>
    </w:p>
    <w:p w14:paraId="13F7A1A3">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ascii="黑体" w:hAnsi="黑体" w:eastAsia="黑体" w:cs="黑体"/>
        </w:rPr>
      </w:pPr>
      <w:r>
        <w:rPr>
          <w:rFonts w:hint="eastAsia" w:ascii="黑体" w:hAnsi="黑体" w:eastAsia="黑体" w:cs="黑体"/>
        </w:rPr>
        <w:t>第三章  附  则</w:t>
      </w:r>
    </w:p>
    <w:p w14:paraId="4BB59C14">
      <w:pPr>
        <w:keepNext w:val="0"/>
        <w:keepLines w:val="0"/>
        <w:pageBreakBefore w:val="0"/>
        <w:widowControl w:val="0"/>
        <w:kinsoku/>
        <w:wordWrap/>
        <w:overflowPunct w:val="0"/>
        <w:topLinePunct w:val="0"/>
        <w:autoSpaceDE/>
        <w:autoSpaceDN/>
        <w:bidi w:val="0"/>
        <w:adjustRightInd/>
        <w:snapToGrid/>
        <w:spacing w:line="600" w:lineRule="exact"/>
        <w:jc w:val="both"/>
        <w:textAlignment w:val="auto"/>
        <w:rPr>
          <w:rFonts w:ascii="仿宋_GB2312"/>
        </w:rPr>
      </w:pPr>
    </w:p>
    <w:p w14:paraId="70440867">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黑体" w:hAnsi="黑体" w:eastAsia="黑体" w:cs="黑体"/>
        </w:rPr>
        <w:t>第九条</w:t>
      </w:r>
      <w:r>
        <w:rPr>
          <w:rFonts w:hint="eastAsia" w:ascii="仿宋_GB2312"/>
        </w:rPr>
        <w:t xml:space="preserve">  资历年限以及工作年限计算截止到评审年度当年的12月31日。</w:t>
      </w:r>
    </w:p>
    <w:p w14:paraId="61A28D7D">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黑体" w:hAnsi="黑体" w:eastAsia="黑体" w:cs="黑体"/>
        </w:rPr>
        <w:t>第十条</w:t>
      </w:r>
      <w:r>
        <w:rPr>
          <w:rFonts w:hint="eastAsia" w:ascii="仿宋_GB2312"/>
        </w:rPr>
        <w:t xml:space="preserve">  本标准条件中有关问题的特定解释与说明：</w:t>
      </w:r>
    </w:p>
    <w:p w14:paraId="5FE51635">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仿宋_GB2312"/>
        </w:rPr>
        <w:t>（一）凡规定“以上”的均包含本级。</w:t>
      </w:r>
    </w:p>
    <w:p w14:paraId="78CFD39C">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仿宋_GB2312"/>
        </w:rPr>
        <w:t>（二）会计及相关工作指会计、财务、财政、审计、税务、投资、资产评估等。</w:t>
      </w:r>
    </w:p>
    <w:p w14:paraId="35B599DE">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仿宋_GB2312"/>
        </w:rPr>
        <w:t>（三）符合条件且从事会计工作年限不足5年的申报人员，“年度考核”“会计专业技术人员继续教育”按照实际工作年限计算。</w:t>
      </w:r>
    </w:p>
    <w:p w14:paraId="79064106">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仿宋_GB2312"/>
        </w:rPr>
        <w:t>（四）期刊是指经新闻出版部门批准，具有ISSN刊号和CN刊号，公开并定期出版发行的刊物，以国家新闻出版署网站查询结果为准，不含增刊、专刊、临刊、电子期刊等。</w:t>
      </w:r>
    </w:p>
    <w:p w14:paraId="665B8D86">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仿宋_GB2312"/>
        </w:rPr>
        <w:t>核心期刊指北京大学图书馆的“中文核心期刊”（简称北大核心期刊）和南京大学“中文社会科学引文索引（CSSCI）来源期刊”（简称南大核心期刊，不含扩展版）,核心期刊的认定以文章发表当年为准。</w:t>
      </w:r>
    </w:p>
    <w:p w14:paraId="716EB9C9">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仿宋_GB2312"/>
        </w:rPr>
        <w:t>论文收录网站包括中国知网、维普网、万方数据。</w:t>
      </w:r>
    </w:p>
    <w:p w14:paraId="0C0BA72F">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仿宋_GB2312"/>
        </w:rPr>
        <w:t>（五）出版书籍指具有ISBN国际标准书号，公开出版发行的专业研究性合法书籍，不包括一个单位、一个系统统一出版的论文集、讲话集、报告集等，以国家新闻出版署网站查询结果为准，不含音像电子图书。</w:t>
      </w:r>
    </w:p>
    <w:p w14:paraId="32D38135">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仿宋_GB2312"/>
        </w:rPr>
        <w:t>（六）“主持”指该项目或课题的总负责人，负责该项目或课题的全面工作，一般列项目完成人第一位;“主要完成人”指奖项、项目或课题的主要参与者，应排前3位。</w:t>
      </w:r>
    </w:p>
    <w:p w14:paraId="66630458">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仿宋_GB2312"/>
        </w:rPr>
        <w:t>（七）省级专业学会（协会），指山东省省级会计专业学会，主要包括：山东省会计学会、山东省卫生经济协会和山东省教育会计学会。</w:t>
      </w:r>
    </w:p>
    <w:p w14:paraId="4A3E1A15">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仿宋_GB2312"/>
        </w:rPr>
        <w:t>（八）表彰指经党中央、国务院或省委、省政府批准的各类评比表彰活动。行业协会、学会、研究会等社会组织经党中央、国务院或省委、省政府批准评选颁发的奖项，可作为评审依据。</w:t>
      </w:r>
    </w:p>
    <w:p w14:paraId="237A966A">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黑体" w:hAnsi="黑体" w:eastAsia="黑体" w:cs="黑体"/>
        </w:rPr>
        <w:t>第十一条</w:t>
      </w:r>
      <w:r>
        <w:rPr>
          <w:rFonts w:hint="eastAsia" w:ascii="仿宋_GB2312"/>
        </w:rPr>
        <w:t xml:space="preserve">  本标准条件由山东省财政厅负责解释。如遇国家或省级相关政策调整，按新政策执行。</w:t>
      </w:r>
    </w:p>
    <w:p w14:paraId="5F09C5D0">
      <w:pPr>
        <w:keepNext w:val="0"/>
        <w:keepLines w:val="0"/>
        <w:pageBreakBefore w:val="0"/>
        <w:widowControl w:val="0"/>
        <w:kinsoku/>
        <w:wordWrap/>
        <w:overflowPunct w:val="0"/>
        <w:topLinePunct w:val="0"/>
        <w:autoSpaceDE/>
        <w:autoSpaceDN/>
        <w:bidi w:val="0"/>
        <w:adjustRightInd/>
        <w:snapToGrid/>
        <w:spacing w:line="600" w:lineRule="exact"/>
        <w:ind w:firstLine="658" w:firstLineChars="200"/>
        <w:jc w:val="both"/>
        <w:textAlignment w:val="auto"/>
        <w:rPr>
          <w:rFonts w:ascii="仿宋_GB2312"/>
        </w:rPr>
      </w:pPr>
      <w:r>
        <w:rPr>
          <w:rFonts w:hint="eastAsia" w:ascii="黑体" w:hAnsi="黑体" w:eastAsia="黑体" w:cs="黑体"/>
        </w:rPr>
        <w:t>第十二条</w:t>
      </w:r>
      <w:r>
        <w:rPr>
          <w:rFonts w:hint="eastAsia" w:ascii="仿宋_GB2312"/>
        </w:rPr>
        <w:t xml:space="preserve">  本标准条件自2025年2月1日起施行，有效期至2030年1月31日。</w:t>
      </w:r>
    </w:p>
    <w:p w14:paraId="2A7D1036">
      <w:pPr>
        <w:spacing w:line="560" w:lineRule="atLeast"/>
        <w:rPr>
          <w:rFonts w:ascii="仿宋_GB2312" w:hAnsi="微软雅黑" w:cs="宋体"/>
          <w:kern w:val="0"/>
          <w:szCs w:val="32"/>
        </w:rPr>
      </w:pPr>
      <w:bookmarkStart w:id="4" w:name="_GoBack"/>
      <w:bookmarkEnd w:id="4"/>
    </w:p>
    <w:sectPr>
      <w:footerReference r:id="rId3" w:type="default"/>
      <w:pgSz w:w="11906" w:h="16838"/>
      <w:pgMar w:top="1440" w:right="1274" w:bottom="1440" w:left="1440" w:header="851" w:footer="992" w:gutter="0"/>
      <w:pgNumType w:fmt="decimal"/>
      <w:cols w:space="425" w:num="1"/>
      <w:docGrid w:type="linesAndChars" w:linePitch="620" w:charSpace="20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E43230-274E-4576-841D-942FFDE39D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18F7283-0D7A-4A04-833B-69D44E5A83F6}"/>
  </w:font>
  <w:font w:name="Calibri Light">
    <w:panose1 w:val="020F0302020204030204"/>
    <w:charset w:val="00"/>
    <w:family w:val="auto"/>
    <w:pitch w:val="default"/>
    <w:sig w:usb0="E4002EFF" w:usb1="C000247B" w:usb2="00000009" w:usb3="00000000" w:csb0="200001FF" w:csb1="00000000"/>
  </w:font>
  <w:font w:name="方正楷体_GB2312">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embedRegular r:id="rId3" w:fontKey="{F4679A1C-9990-4A6A-818C-6A3578D2FC0B}"/>
  </w:font>
  <w:font w:name="仿宋">
    <w:panose1 w:val="02010609060101010101"/>
    <w:charset w:val="86"/>
    <w:family w:val="auto"/>
    <w:pitch w:val="default"/>
    <w:sig w:usb0="800002BF" w:usb1="38CF7CFA" w:usb2="00000016" w:usb3="00000000" w:csb0="00040001" w:csb1="00000000"/>
    <w:embedRegular r:id="rId4" w:fontKey="{D1D5BB64-F346-440F-B3D1-FC7A41FBC1B9}"/>
  </w:font>
  <w:font w:name="方正小标宋简体">
    <w:panose1 w:val="02010600010101010101"/>
    <w:charset w:val="86"/>
    <w:family w:val="auto"/>
    <w:pitch w:val="default"/>
    <w:sig w:usb0="00000001" w:usb1="080E0000" w:usb2="00000000" w:usb3="00000000" w:csb0="00040000" w:csb1="00000000"/>
    <w:embedRegular r:id="rId5" w:fontKey="{733B3B75-5485-440F-AB32-32FE107742E7}"/>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6" w:fontKey="{30389F48-7A80-4A28-B329-220E9B34BD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D2A1F">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EEB37C">
                          <w:pPr>
                            <w:pStyle w:val="3"/>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BEEB37C">
                    <w:pPr>
                      <w:pStyle w:val="3"/>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232"/>
    <w:rsid w:val="000222EB"/>
    <w:rsid w:val="0002580A"/>
    <w:rsid w:val="000B5DED"/>
    <w:rsid w:val="00125DBD"/>
    <w:rsid w:val="001662B1"/>
    <w:rsid w:val="00182AE3"/>
    <w:rsid w:val="00220BA6"/>
    <w:rsid w:val="002437BD"/>
    <w:rsid w:val="00272442"/>
    <w:rsid w:val="002A336D"/>
    <w:rsid w:val="002C0DE9"/>
    <w:rsid w:val="002E0C20"/>
    <w:rsid w:val="00371BD4"/>
    <w:rsid w:val="004277C4"/>
    <w:rsid w:val="004A7DDA"/>
    <w:rsid w:val="00551295"/>
    <w:rsid w:val="005831D1"/>
    <w:rsid w:val="005954EC"/>
    <w:rsid w:val="00666538"/>
    <w:rsid w:val="00684470"/>
    <w:rsid w:val="006B1E6D"/>
    <w:rsid w:val="006C1F49"/>
    <w:rsid w:val="006D6DB5"/>
    <w:rsid w:val="007708C8"/>
    <w:rsid w:val="00785534"/>
    <w:rsid w:val="00815A3C"/>
    <w:rsid w:val="00825A50"/>
    <w:rsid w:val="008730C1"/>
    <w:rsid w:val="009321CA"/>
    <w:rsid w:val="0095470F"/>
    <w:rsid w:val="009B40AC"/>
    <w:rsid w:val="009C4338"/>
    <w:rsid w:val="009E5232"/>
    <w:rsid w:val="009E6E17"/>
    <w:rsid w:val="00A25AFC"/>
    <w:rsid w:val="00A30575"/>
    <w:rsid w:val="00A37EA0"/>
    <w:rsid w:val="00A67142"/>
    <w:rsid w:val="00A739D3"/>
    <w:rsid w:val="00A919B3"/>
    <w:rsid w:val="00AD7D84"/>
    <w:rsid w:val="00B14BE3"/>
    <w:rsid w:val="00B71FA8"/>
    <w:rsid w:val="00C5551E"/>
    <w:rsid w:val="00CC2E3F"/>
    <w:rsid w:val="00D424BC"/>
    <w:rsid w:val="00DE2092"/>
    <w:rsid w:val="00DF1594"/>
    <w:rsid w:val="00E779B9"/>
    <w:rsid w:val="00F207AF"/>
    <w:rsid w:val="00F37162"/>
    <w:rsid w:val="00FD1506"/>
    <w:rsid w:val="00FF0519"/>
    <w:rsid w:val="04C25AE4"/>
    <w:rsid w:val="56BA72FB"/>
    <w:rsid w:val="60977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rFonts w:ascii="Times New Roman" w:hAnsi="Times New Roman" w:eastAsia="仿宋_GB2312" w:cs="Times New Roman"/>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济南市人民政府</Company>
  <Pages>12</Pages>
  <Words>1711</Words>
  <Characters>1841</Characters>
  <Lines>65</Lines>
  <Paragraphs>18</Paragraphs>
  <TotalTime>131</TotalTime>
  <ScaleCrop>false</ScaleCrop>
  <LinksUpToDate>false</LinksUpToDate>
  <CharactersWithSpaces>1845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2025-09-08T07:21:00Z</dcterms:created>
  <dc:creator>鞠晓洁</dc:creator>
  <cp:lastModifiedBy>Iris.C</cp:lastModifiedBy>
  <cp:lastPrinted>2025-09-08T07:45:00Z</cp:lastPrinted>
  <dcterms:modified xsi:type="dcterms:W3CDTF">2025-09-11T02:39:49Z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eyJoZGlkIjoiOGE3ZGI4YzcxN2I5ODdlYzlkYmI2MjRhOTBlMWI3M2QiLCJ1c2VySWQiOiI0MjIzMDg1NjgifQ==</vt:lpwstr>
  </property>
  <property fmtid="{D5CDD505-2E9C-101B-9397-08002B2CF9AE}" pid="3" name="KSOProductBuildVer">
    <vt:lpwstr>2052-12.1.0.22215</vt:lpwstr>
  </property>
  <property fmtid="{D5CDD505-2E9C-101B-9397-08002B2CF9AE}" pid="4" name="ICV">
    <vt:lpwstr>0A9A403135444BFF824876E76C54DF44_13</vt:lpwstr>
  </property>
</Properties>
</file>