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ascii="微软雅黑" w:hAnsi="微软雅黑" w:eastAsia="微软雅黑" w:cs="微软雅黑"/>
          <w:sz w:val="72"/>
          <w:szCs w:val="72"/>
        </w:rPr>
      </w:pPr>
      <w:bookmarkStart w:id="0" w:name="_Toc17549"/>
    </w:p>
    <w:p>
      <w:pPr>
        <w:jc w:val="center"/>
        <w:outlineLvl w:val="0"/>
        <w:rPr>
          <w:rFonts w:ascii="微软雅黑" w:hAnsi="微软雅黑" w:eastAsia="微软雅黑" w:cs="微软雅黑"/>
          <w:sz w:val="72"/>
          <w:szCs w:val="72"/>
        </w:rPr>
      </w:pPr>
    </w:p>
    <w:p>
      <w:pPr>
        <w:jc w:val="center"/>
        <w:outlineLvl w:val="0"/>
        <w:rPr>
          <w:rFonts w:ascii="方正小标宋简体" w:hAnsi="微软雅黑" w:eastAsia="方正小标宋简体" w:cs="微软雅黑"/>
          <w:sz w:val="52"/>
          <w:szCs w:val="52"/>
        </w:rPr>
      </w:pPr>
      <w:bookmarkStart w:id="1" w:name="_Toc24810"/>
      <w:bookmarkStart w:id="2" w:name="_Toc29553"/>
      <w:bookmarkStart w:id="3" w:name="_Toc29523"/>
      <w:r>
        <w:rPr>
          <w:rFonts w:hint="eastAsia" w:ascii="方正小标宋简体" w:hAnsi="微软雅黑" w:eastAsia="方正小标宋简体" w:cs="微软雅黑"/>
          <w:sz w:val="52"/>
          <w:szCs w:val="52"/>
        </w:rPr>
        <w:t>车辆保险</w:t>
      </w:r>
      <w:bookmarkEnd w:id="1"/>
      <w:r>
        <w:rPr>
          <w:rFonts w:hint="eastAsia" w:ascii="方正小标宋简体" w:hAnsi="微软雅黑" w:eastAsia="方正小标宋简体" w:cs="微软雅黑"/>
          <w:sz w:val="52"/>
          <w:szCs w:val="52"/>
        </w:rPr>
        <w:t>服务</w:t>
      </w:r>
      <w:bookmarkStart w:id="4" w:name="_Toc21952"/>
      <w:r>
        <w:rPr>
          <w:rFonts w:hint="eastAsia" w:ascii="方正小标宋简体" w:hAnsi="微软雅黑" w:eastAsia="方正小标宋简体" w:cs="微软雅黑"/>
          <w:sz w:val="52"/>
          <w:szCs w:val="52"/>
        </w:rPr>
        <w:t>框架协议</w:t>
      </w:r>
      <w:bookmarkEnd w:id="2"/>
      <w:bookmarkEnd w:id="3"/>
    </w:p>
    <w:p>
      <w:pPr>
        <w:jc w:val="center"/>
        <w:outlineLvl w:val="0"/>
        <w:rPr>
          <w:rFonts w:ascii="方正小标宋简体" w:hAnsi="微软雅黑" w:eastAsia="方正小标宋简体" w:cs="微软雅黑"/>
          <w:sz w:val="52"/>
          <w:szCs w:val="52"/>
        </w:rPr>
      </w:pPr>
      <w:bookmarkStart w:id="5" w:name="_Toc23837"/>
      <w:bookmarkStart w:id="6" w:name="_Toc30553"/>
      <w:r>
        <w:rPr>
          <w:rFonts w:hint="eastAsia" w:ascii="方正小标宋简体" w:hAnsi="微软雅黑" w:eastAsia="方正小标宋简体" w:cs="微软雅黑"/>
          <w:sz w:val="52"/>
          <w:szCs w:val="52"/>
        </w:rPr>
        <w:t>二阶段</w:t>
      </w:r>
      <w:bookmarkEnd w:id="0"/>
      <w:bookmarkEnd w:id="4"/>
      <w:bookmarkStart w:id="20" w:name="_GoBack"/>
      <w:bookmarkEnd w:id="20"/>
      <w:r>
        <w:rPr>
          <w:rFonts w:hint="eastAsia" w:ascii="方正小标宋简体" w:hAnsi="微软雅黑" w:eastAsia="方正小标宋简体" w:cs="微软雅黑"/>
          <w:sz w:val="52"/>
          <w:szCs w:val="52"/>
        </w:rPr>
        <w:t>操作手册</w:t>
      </w:r>
      <w:bookmarkEnd w:id="5"/>
      <w:bookmarkEnd w:id="6"/>
    </w:p>
    <w:p>
      <w:pPr>
        <w:jc w:val="center"/>
        <w:outlineLvl w:val="0"/>
        <w:rPr>
          <w:rFonts w:ascii="方正小标宋简体" w:hAnsi="微软雅黑" w:eastAsia="方正小标宋简体" w:cs="微软雅黑"/>
          <w:sz w:val="52"/>
          <w:szCs w:val="52"/>
        </w:rPr>
      </w:pPr>
      <w:bookmarkStart w:id="7" w:name="_Toc29976"/>
      <w:bookmarkStart w:id="8" w:name="_Toc19849"/>
      <w:r>
        <w:rPr>
          <w:rFonts w:hint="eastAsia" w:ascii="方正小标宋简体" w:hAnsi="微软雅黑" w:eastAsia="方正小标宋简体" w:cs="微软雅黑"/>
          <w:sz w:val="52"/>
          <w:szCs w:val="52"/>
        </w:rPr>
        <w:t>（采购人版1.0）</w:t>
      </w:r>
      <w:bookmarkEnd w:id="7"/>
      <w:bookmarkEnd w:id="8"/>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52"/>
          <w:szCs w:val="52"/>
        </w:rPr>
      </w:pPr>
    </w:p>
    <w:p>
      <w:pPr>
        <w:jc w:val="center"/>
        <w:outlineLvl w:val="0"/>
        <w:rPr>
          <w:rFonts w:ascii="方正小标宋简体" w:hAnsi="微软雅黑" w:eastAsia="方正小标宋简体" w:cs="微软雅黑"/>
          <w:sz w:val="28"/>
          <w:szCs w:val="28"/>
        </w:rPr>
      </w:pPr>
      <w:bookmarkStart w:id="9" w:name="_Toc18519"/>
      <w:bookmarkStart w:id="10" w:name="_Toc28007"/>
      <w:r>
        <w:rPr>
          <w:rFonts w:hint="eastAsia" w:ascii="方正小标宋简体" w:hAnsi="微软雅黑" w:eastAsia="方正小标宋简体" w:cs="微软雅黑"/>
          <w:sz w:val="28"/>
          <w:szCs w:val="28"/>
        </w:rPr>
        <w:t>2023年4月</w:t>
      </w:r>
      <w:bookmarkEnd w:id="9"/>
      <w:bookmarkEnd w:id="10"/>
    </w:p>
    <w:p>
      <w:pPr>
        <w:sectPr>
          <w:pgSz w:w="11906" w:h="16838"/>
          <w:pgMar w:top="1440" w:right="1800" w:bottom="1440" w:left="1800" w:header="851" w:footer="992" w:gutter="0"/>
          <w:cols w:space="425" w:num="1"/>
          <w:docGrid w:type="lines" w:linePitch="312" w:charSpace="0"/>
        </w:sectPr>
      </w:pPr>
    </w:p>
    <w:p/>
    <w:sdt>
      <w:sdtPr>
        <w:rPr>
          <w:rFonts w:ascii="宋体" w:hAnsi="宋体" w:eastAsia="宋体"/>
        </w:rPr>
        <w:id w:val="147462541"/>
        <w:docPartObj>
          <w:docPartGallery w:val="Table of Contents"/>
          <w:docPartUnique/>
        </w:docPartObj>
      </w:sdtPr>
      <w:sdtEndPr>
        <w:rPr>
          <w:rFonts w:hint="eastAsia" w:ascii="仿宋" w:hAnsi="仿宋" w:eastAsia="仿宋" w:cs="仿宋"/>
          <w:b/>
          <w:sz w:val="28"/>
          <w:szCs w:val="28"/>
        </w:rPr>
      </w:sdtEndPr>
      <w:sdtContent>
        <w:p>
          <w:pPr>
            <w:spacing w:line="360" w:lineRule="auto"/>
            <w:jc w:val="center"/>
            <w:rPr>
              <w:rFonts w:ascii="仿宋" w:hAnsi="仿宋" w:eastAsia="仿宋" w:cs="仿宋"/>
              <w:sz w:val="28"/>
              <w:szCs w:val="28"/>
            </w:rPr>
          </w:pPr>
          <w:r>
            <w:rPr>
              <w:rFonts w:hint="eastAsia" w:ascii="仿宋" w:hAnsi="仿宋" w:eastAsia="仿宋" w:cs="仿宋"/>
              <w:sz w:val="28"/>
              <w:szCs w:val="28"/>
            </w:rPr>
            <w:t>目 录</w:t>
          </w:r>
        </w:p>
        <w:p>
          <w:pPr>
            <w:pStyle w:val="8"/>
            <w:tabs>
              <w:tab w:val="right" w:leader="dot" w:pos="8306"/>
            </w:tabs>
            <w:rPr>
              <w:rFonts w:ascii="仿宋" w:hAnsi="仿宋" w:eastAsia="仿宋" w:cs="仿宋"/>
              <w:sz w:val="28"/>
              <w:szCs w:val="28"/>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TOC \o "1-2" \h \u </w:instrText>
          </w:r>
          <w:r>
            <w:rPr>
              <w:rFonts w:hint="eastAsia" w:ascii="仿宋" w:hAnsi="仿宋" w:eastAsia="仿宋" w:cs="仿宋"/>
              <w:b/>
              <w:bCs/>
              <w:sz w:val="28"/>
              <w:szCs w:val="28"/>
            </w:rPr>
            <w:fldChar w:fldCharType="separate"/>
          </w:r>
        </w:p>
        <w:p>
          <w:pPr>
            <w:pStyle w:val="8"/>
            <w:tabs>
              <w:tab w:val="right" w:leader="dot" w:pos="8306"/>
            </w:tabs>
            <w:rPr>
              <w:rFonts w:ascii="仿宋_GB2312" w:hAnsi="仿宋" w:eastAsia="仿宋_GB2312" w:cs="仿宋"/>
              <w:sz w:val="28"/>
              <w:szCs w:val="28"/>
            </w:rPr>
          </w:pPr>
          <w:r>
            <w:fldChar w:fldCharType="begin"/>
          </w:r>
          <w:r>
            <w:instrText xml:space="preserve"> HYPERLINK \l "_Toc3609" </w:instrText>
          </w:r>
          <w:r>
            <w:fldChar w:fldCharType="separate"/>
          </w:r>
          <w:r>
            <w:rPr>
              <w:rFonts w:hint="eastAsia" w:ascii="仿宋_GB2312" w:hAnsi="仿宋" w:eastAsia="仿宋_GB2312" w:cs="仿宋"/>
              <w:sz w:val="28"/>
              <w:szCs w:val="28"/>
            </w:rPr>
            <w:t>一、采购流程</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_Toc3609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2</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8"/>
            <w:tabs>
              <w:tab w:val="right" w:leader="dot" w:pos="8306"/>
            </w:tabs>
            <w:rPr>
              <w:rFonts w:ascii="仿宋_GB2312" w:hAnsi="仿宋" w:eastAsia="仿宋_GB2312" w:cs="仿宋"/>
              <w:sz w:val="28"/>
              <w:szCs w:val="28"/>
            </w:rPr>
          </w:pPr>
          <w:r>
            <w:fldChar w:fldCharType="begin"/>
          </w:r>
          <w:r>
            <w:instrText xml:space="preserve"> HYPERLINK \l "_Toc28687" </w:instrText>
          </w:r>
          <w:r>
            <w:fldChar w:fldCharType="separate"/>
          </w:r>
          <w:r>
            <w:rPr>
              <w:rFonts w:hint="eastAsia" w:ascii="仿宋_GB2312" w:hAnsi="仿宋" w:eastAsia="仿宋_GB2312" w:cs="仿宋"/>
              <w:sz w:val="28"/>
              <w:szCs w:val="28"/>
            </w:rPr>
            <w:t>二、操作指南</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_Toc28687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4</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8"/>
            <w:tabs>
              <w:tab w:val="right" w:leader="dot" w:pos="8306"/>
            </w:tabs>
            <w:ind w:firstLine="420" w:firstLineChars="200"/>
            <w:rPr>
              <w:rFonts w:ascii="仿宋_GB2312" w:hAnsi="仿宋" w:eastAsia="仿宋_GB2312" w:cs="仿宋"/>
              <w:sz w:val="28"/>
              <w:szCs w:val="28"/>
            </w:rPr>
          </w:pPr>
          <w:r>
            <w:fldChar w:fldCharType="begin"/>
          </w:r>
          <w:r>
            <w:instrText xml:space="preserve"> HYPERLINK \l "_Toc28477" </w:instrText>
          </w:r>
          <w:r>
            <w:fldChar w:fldCharType="separate"/>
          </w:r>
          <w:r>
            <w:rPr>
              <w:rFonts w:hint="eastAsia" w:ascii="仿宋_GB2312" w:hAnsi="仿宋" w:eastAsia="仿宋_GB2312" w:cs="仿宋"/>
              <w:sz w:val="28"/>
              <w:szCs w:val="28"/>
            </w:rPr>
            <w:t>1.用户登录</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_Toc28477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4</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8"/>
            <w:tabs>
              <w:tab w:val="right" w:leader="dot" w:pos="8306"/>
            </w:tabs>
            <w:ind w:firstLine="420" w:firstLineChars="200"/>
            <w:rPr>
              <w:rFonts w:ascii="仿宋_GB2312" w:hAnsi="仿宋" w:eastAsia="仿宋_GB2312" w:cs="仿宋"/>
              <w:sz w:val="28"/>
              <w:szCs w:val="28"/>
            </w:rPr>
          </w:pPr>
          <w:r>
            <w:fldChar w:fldCharType="begin"/>
          </w:r>
          <w:r>
            <w:instrText xml:space="preserve"> HYPERLINK \l "_Toc28401" </w:instrText>
          </w:r>
          <w:r>
            <w:fldChar w:fldCharType="separate"/>
          </w:r>
          <w:r>
            <w:rPr>
              <w:rFonts w:hint="eastAsia" w:ascii="仿宋_GB2312" w:hAnsi="仿宋" w:eastAsia="仿宋_GB2312" w:cs="仿宋"/>
              <w:sz w:val="28"/>
              <w:szCs w:val="28"/>
            </w:rPr>
            <w:t>2.编制采购计划</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_Toc28401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6</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8"/>
            <w:tabs>
              <w:tab w:val="right" w:leader="dot" w:pos="8306"/>
            </w:tabs>
            <w:ind w:firstLine="420" w:firstLineChars="200"/>
            <w:rPr>
              <w:rFonts w:ascii="仿宋_GB2312" w:hAnsi="仿宋" w:eastAsia="仿宋_GB2312" w:cs="仿宋"/>
              <w:sz w:val="28"/>
              <w:szCs w:val="28"/>
            </w:rPr>
          </w:pPr>
          <w:r>
            <w:fldChar w:fldCharType="begin"/>
          </w:r>
          <w:r>
            <w:instrText xml:space="preserve"> HYPERLINK \l "_Toc29386" </w:instrText>
          </w:r>
          <w:r>
            <w:fldChar w:fldCharType="separate"/>
          </w:r>
          <w:r>
            <w:rPr>
              <w:rFonts w:hint="eastAsia" w:ascii="仿宋_GB2312" w:hAnsi="仿宋" w:eastAsia="仿宋_GB2312" w:cs="仿宋"/>
              <w:sz w:val="28"/>
              <w:szCs w:val="28"/>
            </w:rPr>
            <w:t>3.车辆登记入库</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_Toc29386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6</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8"/>
            <w:tabs>
              <w:tab w:val="right" w:leader="dot" w:pos="8306"/>
            </w:tabs>
            <w:ind w:firstLine="420" w:firstLineChars="200"/>
            <w:rPr>
              <w:rFonts w:ascii="仿宋_GB2312" w:hAnsi="仿宋" w:eastAsia="仿宋_GB2312" w:cs="仿宋"/>
              <w:sz w:val="28"/>
              <w:szCs w:val="28"/>
            </w:rPr>
          </w:pPr>
          <w:r>
            <w:fldChar w:fldCharType="begin"/>
          </w:r>
          <w:r>
            <w:instrText xml:space="preserve"> HYPERLINK \l "_Toc11860" </w:instrText>
          </w:r>
          <w:r>
            <w:fldChar w:fldCharType="separate"/>
          </w:r>
          <w:r>
            <w:rPr>
              <w:rFonts w:hint="eastAsia" w:ascii="仿宋_GB2312" w:hAnsi="仿宋" w:eastAsia="仿宋_GB2312" w:cs="仿宋"/>
              <w:sz w:val="28"/>
              <w:szCs w:val="28"/>
            </w:rPr>
            <w:t>4.发布项目</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_Toc11860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7</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pStyle w:val="8"/>
            <w:tabs>
              <w:tab w:val="right" w:leader="dot" w:pos="8306"/>
            </w:tabs>
            <w:ind w:firstLine="420" w:firstLineChars="200"/>
            <w:rPr>
              <w:rFonts w:ascii="仿宋" w:hAnsi="仿宋" w:eastAsia="仿宋" w:cs="仿宋"/>
              <w:sz w:val="28"/>
              <w:szCs w:val="28"/>
            </w:rPr>
          </w:pPr>
          <w:r>
            <w:fldChar w:fldCharType="begin"/>
          </w:r>
          <w:r>
            <w:instrText xml:space="preserve"> HYPERLINK \l "_Toc30371" </w:instrText>
          </w:r>
          <w:r>
            <w:fldChar w:fldCharType="separate"/>
          </w:r>
          <w:r>
            <w:rPr>
              <w:rFonts w:hint="eastAsia" w:ascii="仿宋_GB2312" w:hAnsi="仿宋" w:eastAsia="仿宋_GB2312" w:cs="仿宋"/>
              <w:sz w:val="28"/>
              <w:szCs w:val="28"/>
            </w:rPr>
            <w:t>5.确认成交</w:t>
          </w:r>
          <w:r>
            <w:rPr>
              <w:rFonts w:hint="eastAsia" w:ascii="仿宋_GB2312" w:hAnsi="仿宋" w:eastAsia="仿宋_GB2312" w:cs="仿宋"/>
              <w:sz w:val="28"/>
              <w:szCs w:val="28"/>
            </w:rPr>
            <w:tab/>
          </w:r>
          <w:r>
            <w:rPr>
              <w:rFonts w:hint="eastAsia" w:ascii="仿宋_GB2312" w:hAnsi="仿宋" w:eastAsia="仿宋_GB2312" w:cs="仿宋"/>
              <w:sz w:val="28"/>
              <w:szCs w:val="28"/>
            </w:rPr>
            <w:fldChar w:fldCharType="begin"/>
          </w:r>
          <w:r>
            <w:rPr>
              <w:rFonts w:hint="eastAsia" w:ascii="仿宋_GB2312" w:hAnsi="仿宋" w:eastAsia="仿宋_GB2312" w:cs="仿宋"/>
              <w:sz w:val="28"/>
              <w:szCs w:val="28"/>
            </w:rPr>
            <w:instrText xml:space="preserve"> PAGEREF _Toc30371 \h </w:instrText>
          </w:r>
          <w:r>
            <w:rPr>
              <w:rFonts w:hint="eastAsia" w:ascii="仿宋_GB2312" w:hAnsi="仿宋" w:eastAsia="仿宋_GB2312" w:cs="仿宋"/>
              <w:sz w:val="28"/>
              <w:szCs w:val="28"/>
            </w:rPr>
            <w:fldChar w:fldCharType="separate"/>
          </w:r>
          <w:r>
            <w:rPr>
              <w:rFonts w:hint="eastAsia" w:ascii="仿宋_GB2312" w:hAnsi="仿宋" w:eastAsia="仿宋_GB2312" w:cs="仿宋"/>
              <w:sz w:val="28"/>
              <w:szCs w:val="28"/>
            </w:rPr>
            <w:t>14</w:t>
          </w:r>
          <w:r>
            <w:rPr>
              <w:rFonts w:hint="eastAsia" w:ascii="仿宋_GB2312" w:hAnsi="仿宋" w:eastAsia="仿宋_GB2312" w:cs="仿宋"/>
              <w:sz w:val="28"/>
              <w:szCs w:val="28"/>
            </w:rPr>
            <w:fldChar w:fldCharType="end"/>
          </w:r>
          <w:r>
            <w:rPr>
              <w:rFonts w:hint="eastAsia" w:ascii="仿宋_GB2312" w:hAnsi="仿宋" w:eastAsia="仿宋_GB2312" w:cs="仿宋"/>
              <w:sz w:val="28"/>
              <w:szCs w:val="28"/>
            </w:rPr>
            <w:fldChar w:fldCharType="end"/>
          </w:r>
        </w:p>
        <w:p>
          <w:pPr>
            <w:rPr>
              <w:rFonts w:ascii="仿宋" w:hAnsi="仿宋" w:eastAsia="仿宋" w:cs="仿宋"/>
              <w:sz w:val="28"/>
              <w:szCs w:val="28"/>
            </w:rPr>
          </w:pPr>
          <w:r>
            <w:rPr>
              <w:rFonts w:hint="eastAsia" w:ascii="仿宋" w:hAnsi="仿宋" w:eastAsia="仿宋" w:cs="仿宋"/>
              <w:bCs/>
              <w:sz w:val="28"/>
              <w:szCs w:val="28"/>
            </w:rPr>
            <w:fldChar w:fldCharType="end"/>
          </w:r>
        </w:p>
      </w:sdtContent>
    </w:sdt>
    <w:p>
      <w:pPr>
        <w:rPr>
          <w:rFonts w:ascii="黑体" w:hAnsi="黑体" w:eastAsia="黑体" w:cs="黑体"/>
          <w:sz w:val="32"/>
          <w:szCs w:val="32"/>
        </w:rPr>
      </w:pPr>
      <w:bookmarkStart w:id="11" w:name="_Toc21164"/>
      <w:r>
        <w:rPr>
          <w:rFonts w:hint="eastAsia" w:ascii="黑体" w:hAnsi="黑体" w:eastAsia="黑体" w:cs="黑体"/>
          <w:sz w:val="32"/>
          <w:szCs w:val="32"/>
        </w:rPr>
        <w:br w:type="page"/>
      </w:r>
    </w:p>
    <w:p>
      <w:pPr>
        <w:pStyle w:val="14"/>
        <w:numPr>
          <w:ilvl w:val="0"/>
          <w:numId w:val="0"/>
        </w:numPr>
        <w:ind w:firstLine="562" w:firstLineChars="200"/>
        <w:rPr>
          <w:rFonts w:ascii="黑体" w:hAnsi="黑体" w:eastAsia="黑体" w:cs="黑体"/>
          <w:bCs/>
          <w:szCs w:val="28"/>
        </w:rPr>
      </w:pPr>
      <w:bookmarkStart w:id="12" w:name="_Toc3609"/>
      <w:r>
        <w:rPr>
          <w:rFonts w:hint="eastAsia" w:ascii="黑体" w:hAnsi="黑体" w:eastAsia="黑体" w:cs="黑体"/>
          <w:bCs/>
          <w:szCs w:val="28"/>
        </w:rPr>
        <w:t>一、采购流程</w:t>
      </w:r>
      <w:bookmarkEnd w:id="12"/>
    </w:p>
    <w:p>
      <w:pPr>
        <w:spacing w:line="580" w:lineRule="exact"/>
        <w:ind w:firstLine="562" w:firstLineChars="200"/>
        <w:jc w:val="left"/>
        <w:rPr>
          <w:rFonts w:hint="eastAsia" w:ascii="仿宋_GB2312" w:hAnsi="仿宋" w:eastAsia="仿宋_GB2312" w:cs="仿宋"/>
          <w:sz w:val="28"/>
          <w:szCs w:val="28"/>
        </w:rPr>
      </w:pPr>
      <w:r>
        <w:rPr>
          <w:rFonts w:hint="eastAsia" w:ascii="仿宋_GB2312" w:hAnsi="仿宋" w:eastAsia="仿宋_GB2312" w:cs="仿宋"/>
          <w:b/>
          <w:bCs/>
          <w:sz w:val="28"/>
          <w:szCs w:val="28"/>
        </w:rPr>
        <w:t>1.编制采购计划。</w:t>
      </w:r>
      <w:r>
        <w:rPr>
          <w:rFonts w:hint="eastAsia" w:ascii="仿宋_GB2312" w:hAnsi="仿宋" w:eastAsia="仿宋_GB2312" w:cs="仿宋"/>
          <w:sz w:val="28"/>
          <w:szCs w:val="28"/>
        </w:rPr>
        <w:t>预算指标批复后，通过财政预算管理一体化系统中政府采购模块编制保险服务采购计划，采购方式选择框架协议二阶段，可按每辆车分别编制保险服务采购计划，也可按照保险服务入围供应商分别编制采购计划并按车辆进行分包，立项分包信息自动导入网上商城系统。</w:t>
      </w:r>
    </w:p>
    <w:p>
      <w:pPr>
        <w:spacing w:line="580" w:lineRule="exact"/>
        <w:ind w:firstLine="562" w:firstLineChars="200"/>
        <w:jc w:val="left"/>
        <w:rPr>
          <w:rFonts w:ascii="仿宋_GB2312" w:eastAsia="仿宋_GB2312"/>
          <w:sz w:val="28"/>
          <w:szCs w:val="28"/>
        </w:rPr>
      </w:pPr>
      <w:r>
        <w:rPr>
          <w:rFonts w:hint="eastAsia" w:ascii="仿宋_GB2312" w:hAnsi="仿宋" w:eastAsia="仿宋_GB2312" w:cs="仿宋"/>
          <w:b/>
          <w:bCs/>
          <w:sz w:val="28"/>
          <w:szCs w:val="28"/>
        </w:rPr>
        <w:t>2.车辆登记入库。</w:t>
      </w:r>
      <w:r>
        <w:rPr>
          <w:rFonts w:hint="eastAsia" w:ascii="仿宋_GB2312" w:hAnsi="仿宋" w:eastAsia="仿宋_GB2312" w:cs="仿宋"/>
          <w:sz w:val="28"/>
          <w:szCs w:val="28"/>
        </w:rPr>
        <w:t>采购人登录“齐鲁云采政府采购网上商城”(http://ggzyjyzx.shandong.gov.cn/wssc/sdszfcg/), 进入框架协议采购专区，在车辆库栏目下，录入本单位车辆基本信息，建立本单位车辆信息库(如车辆信息已入库，请忽略本步)。</w:t>
      </w:r>
    </w:p>
    <w:p>
      <w:pPr>
        <w:spacing w:line="580" w:lineRule="exact"/>
        <w:ind w:firstLine="562" w:firstLineChars="200"/>
        <w:jc w:val="left"/>
        <w:rPr>
          <w:rFonts w:ascii="仿宋_GB2312" w:eastAsia="仿宋_GB2312"/>
          <w:sz w:val="28"/>
          <w:szCs w:val="28"/>
        </w:rPr>
      </w:pPr>
      <w:r>
        <w:rPr>
          <w:rFonts w:hint="eastAsia" w:ascii="仿宋_GB2312" w:hAnsi="仿宋" w:eastAsia="仿宋_GB2312" w:cs="仿宋"/>
          <w:b/>
          <w:bCs/>
          <w:sz w:val="28"/>
          <w:szCs w:val="28"/>
        </w:rPr>
        <w:t>3.确定保险方案。</w:t>
      </w:r>
      <w:r>
        <w:rPr>
          <w:rFonts w:hint="eastAsia" w:ascii="仿宋_GB2312" w:hAnsi="仿宋" w:eastAsia="仿宋_GB2312" w:cs="仿宋"/>
          <w:sz w:val="28"/>
          <w:szCs w:val="28"/>
        </w:rPr>
        <w:t>采购人可委托保险经纪安排保险方案，明确保险服务采购需求。</w:t>
      </w:r>
    </w:p>
    <w:p>
      <w:pPr>
        <w:spacing w:line="580" w:lineRule="exact"/>
        <w:ind w:firstLine="562" w:firstLineChars="200"/>
        <w:jc w:val="left"/>
        <w:rPr>
          <w:rFonts w:ascii="仿宋_GB2312" w:hAnsi="仿宋" w:eastAsia="仿宋_GB2312" w:cs="仿宋"/>
          <w:sz w:val="28"/>
          <w:szCs w:val="28"/>
        </w:rPr>
      </w:pPr>
      <w:r>
        <w:rPr>
          <w:rFonts w:hint="eastAsia" w:ascii="仿宋_GB2312" w:hAnsi="仿宋" w:eastAsia="仿宋_GB2312" w:cs="仿宋"/>
          <w:b/>
          <w:bCs/>
          <w:sz w:val="28"/>
          <w:szCs w:val="28"/>
        </w:rPr>
        <w:t>4.采购人选择供应商。</w:t>
      </w:r>
      <w:r>
        <w:rPr>
          <w:rFonts w:hint="eastAsia" w:ascii="仿宋_GB2312" w:hAnsi="仿宋" w:eastAsia="仿宋_GB2312" w:cs="仿宋"/>
          <w:sz w:val="28"/>
          <w:szCs w:val="28"/>
        </w:rPr>
        <w:t>采购人登录网上商城，进入框架协议采购专区的入围服务库中查阅入围保险服务供应商信息，择优选定一家，录入保险服务采购需求（包括商业险、交强险、车船税，其中商业险应明确具体险种和保额）。</w:t>
      </w:r>
    </w:p>
    <w:p>
      <w:pPr>
        <w:spacing w:line="580" w:lineRule="exact"/>
        <w:ind w:firstLine="562" w:firstLineChars="200"/>
        <w:jc w:val="left"/>
        <w:rPr>
          <w:rFonts w:ascii="仿宋_GB2312" w:hAnsi="仿宋" w:eastAsia="仿宋_GB2312" w:cs="仿宋"/>
          <w:spacing w:val="-7"/>
          <w:sz w:val="28"/>
          <w:szCs w:val="28"/>
        </w:rPr>
      </w:pPr>
      <w:r>
        <w:rPr>
          <w:rFonts w:hint="eastAsia" w:ascii="仿宋_GB2312" w:hAnsi="仿宋" w:eastAsia="仿宋_GB2312" w:cs="仿宋"/>
          <w:b/>
          <w:bCs/>
          <w:sz w:val="28"/>
          <w:szCs w:val="28"/>
        </w:rPr>
        <w:t>5.供应商报价。</w:t>
      </w:r>
      <w:r>
        <w:rPr>
          <w:rFonts w:hint="eastAsia" w:ascii="仿宋_GB2312" w:hAnsi="仿宋" w:eastAsia="仿宋_GB2312" w:cs="仿宋"/>
          <w:sz w:val="28"/>
          <w:szCs w:val="28"/>
        </w:rPr>
        <w:t>供应商</w:t>
      </w:r>
      <w:r>
        <w:rPr>
          <w:rFonts w:hint="eastAsia" w:ascii="仿宋_GB2312" w:hAnsi="仿宋" w:eastAsia="仿宋_GB2312" w:cs="仿宋"/>
          <w:spacing w:val="-7"/>
          <w:sz w:val="28"/>
          <w:szCs w:val="28"/>
        </w:rPr>
        <w:t>登录网上商城，进入框架协议采购专区，对采购人需求进行报价响应。其中，商业险保费的计算公式为商业险保费=标准保费*无赔款优待等级系数*自主定价系数*交通违法系数，自主定价系数执行框架协议一阶段征集入围供应商的报价响应结果。</w:t>
      </w:r>
    </w:p>
    <w:p>
      <w:pPr>
        <w:spacing w:line="580" w:lineRule="exact"/>
        <w:ind w:firstLine="534" w:firstLineChars="200"/>
        <w:jc w:val="left"/>
        <w:rPr>
          <w:rFonts w:ascii="仿宋_GB2312" w:hAnsi="仿宋" w:eastAsia="仿宋_GB2312" w:cs="仿宋"/>
          <w:spacing w:val="-7"/>
          <w:sz w:val="28"/>
          <w:szCs w:val="28"/>
        </w:rPr>
      </w:pPr>
      <w:r>
        <w:rPr>
          <w:rFonts w:hint="eastAsia" w:ascii="仿宋_GB2312" w:hAnsi="仿宋" w:eastAsia="仿宋_GB2312" w:cs="仿宋"/>
          <w:b/>
          <w:spacing w:val="-7"/>
          <w:sz w:val="28"/>
          <w:szCs w:val="28"/>
        </w:rPr>
        <w:t>6.确定成交结果。</w:t>
      </w:r>
      <w:r>
        <w:rPr>
          <w:rFonts w:hint="eastAsia" w:ascii="仿宋_GB2312" w:hAnsi="仿宋" w:eastAsia="仿宋_GB2312" w:cs="仿宋"/>
          <w:spacing w:val="-7"/>
          <w:sz w:val="28"/>
          <w:szCs w:val="28"/>
        </w:rPr>
        <w:t>采购人确认供应商的报价信息无误后即成交，成交信息自动导入预算管理一体化系统。</w:t>
      </w:r>
    </w:p>
    <w:p>
      <w:pPr>
        <w:spacing w:line="580" w:lineRule="exact"/>
        <w:ind w:firstLine="562" w:firstLineChars="200"/>
        <w:jc w:val="left"/>
        <w:rPr>
          <w:rFonts w:ascii="仿宋" w:hAnsi="仿宋" w:eastAsia="仿宋" w:cs="仿宋"/>
          <w:spacing w:val="-7"/>
          <w:sz w:val="32"/>
          <w:szCs w:val="32"/>
        </w:rPr>
      </w:pPr>
      <w:r>
        <w:rPr>
          <w:rFonts w:hint="eastAsia" w:ascii="仿宋_GB2312" w:hAnsi="仿宋" w:eastAsia="仿宋_GB2312" w:cs="仿宋"/>
          <w:b/>
          <w:bCs/>
          <w:sz w:val="28"/>
          <w:szCs w:val="28"/>
        </w:rPr>
        <w:t>7.生成采购凭证。</w:t>
      </w:r>
      <w:r>
        <w:rPr>
          <w:rFonts w:hint="eastAsia" w:ascii="仿宋_GB2312" w:hAnsi="仿宋" w:eastAsia="仿宋_GB2312" w:cs="仿宋"/>
          <w:spacing w:val="-7"/>
          <w:sz w:val="28"/>
          <w:szCs w:val="28"/>
        </w:rPr>
        <w:t>采购人登录预算管理一体化系统中生</w:t>
      </w:r>
      <w:r>
        <w:rPr>
          <w:rFonts w:hint="eastAsia" w:ascii="仿宋_GB2312" w:hAnsi="仿宋" w:eastAsia="仿宋_GB2312" w:cs="仿宋"/>
          <w:spacing w:val="-6"/>
          <w:sz w:val="28"/>
          <w:szCs w:val="28"/>
        </w:rPr>
        <w:t>成公务车辆保险政府采购凭证。</w:t>
      </w:r>
      <w:r>
        <w:rPr>
          <w:rFonts w:hint="eastAsia" w:ascii="仿宋_GB2312" w:hAnsi="仿宋" w:eastAsia="仿宋_GB2312" w:cs="仿宋"/>
          <w:spacing w:val="-7"/>
          <w:sz w:val="28"/>
          <w:szCs w:val="28"/>
        </w:rPr>
        <w:t>如提前使用公务卡支付，可在采购凭证内录入支付保险费用的公务卡信息（持卡人、开户行、卡号），通过支付系统为公务卡还款。如未提前支付资金，则无需录入公务卡信息，通过支付系统直接向供应商账户转账支付。采购人将供应商开具发票、保单及公务车辆保险政府采购凭证</w:t>
      </w:r>
      <w:r>
        <w:rPr>
          <w:rFonts w:hint="eastAsia" w:ascii="仿宋_GB2312" w:hAnsi="仿宋" w:eastAsia="仿宋_GB2312" w:cs="仿宋"/>
          <w:spacing w:val="-4"/>
          <w:sz w:val="28"/>
          <w:szCs w:val="28"/>
        </w:rPr>
        <w:t>作为财务报销原始凭据和政府采购凭据。</w:t>
      </w: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rPr>
          <w:rFonts w:ascii="黑体" w:hAnsi="黑体" w:eastAsia="黑体" w:cs="黑体"/>
          <w:sz w:val="32"/>
          <w:szCs w:val="32"/>
        </w:rPr>
      </w:pPr>
    </w:p>
    <w:p>
      <w:pPr>
        <w:pStyle w:val="14"/>
        <w:numPr>
          <w:ilvl w:val="0"/>
          <w:numId w:val="0"/>
        </w:numPr>
        <w:ind w:firstLine="562" w:firstLineChars="200"/>
        <w:rPr>
          <w:rFonts w:ascii="黑体" w:hAnsi="黑体" w:eastAsia="黑体" w:cs="黑体"/>
          <w:szCs w:val="28"/>
        </w:rPr>
      </w:pPr>
      <w:bookmarkStart w:id="13" w:name="_Toc28687"/>
      <w:r>
        <w:rPr>
          <w:rFonts w:hint="eastAsia" w:ascii="黑体" w:hAnsi="黑体" w:eastAsia="黑体" w:cs="黑体"/>
          <w:szCs w:val="28"/>
        </w:rPr>
        <w:t>二、操作指南</w:t>
      </w:r>
      <w:bookmarkEnd w:id="13"/>
    </w:p>
    <w:p>
      <w:pPr>
        <w:pStyle w:val="14"/>
        <w:numPr>
          <w:ilvl w:val="0"/>
          <w:numId w:val="0"/>
        </w:numPr>
        <w:ind w:firstLine="562" w:firstLineChars="200"/>
        <w:rPr>
          <w:rFonts w:ascii="仿宋_GB2312" w:hAnsi="仿宋" w:eastAsia="仿宋_GB2312" w:cs="仿宋"/>
          <w:bCs/>
          <w:szCs w:val="28"/>
        </w:rPr>
      </w:pPr>
      <w:bookmarkStart w:id="14" w:name="_Toc28477"/>
      <w:r>
        <w:rPr>
          <w:rFonts w:hint="eastAsia" w:ascii="仿宋_GB2312" w:hAnsi="仿宋" w:eastAsia="仿宋_GB2312" w:cs="仿宋"/>
          <w:bCs/>
          <w:szCs w:val="28"/>
        </w:rPr>
        <w:t>1.用户登录</w:t>
      </w:r>
      <w:bookmarkEnd w:id="11"/>
      <w:bookmarkEnd w:id="14"/>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输入网址http://www.ccgp-shandong.gov.cn进入山东政府采购网，点击右边【网上商城】栏目，或直接输入http://ggzyjyzx.shandong.gov.cn/wssc/sdszfcg/进入网上商城。</w:t>
      </w:r>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注意：网上商城采购人账号密码与山东政府采购信息公开平台的账号密码一致，如需修改账号密码，或忘记密码找回，请到山东政府采购信息公开平台系统中操作，网上商城不提供账号密码修改、找回功能。</w:t>
      </w:r>
    </w:p>
    <w:p>
      <w:r>
        <w:drawing>
          <wp:inline distT="0" distB="0" distL="114300" distR="114300">
            <wp:extent cx="5267325" cy="3141345"/>
            <wp:effectExtent l="0" t="0" r="3175" b="190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5" cstate="print"/>
                    <a:stretch>
                      <a:fillRect/>
                    </a:stretch>
                  </pic:blipFill>
                  <pic:spPr>
                    <a:xfrm>
                      <a:off x="0" y="0"/>
                      <a:ext cx="5267325" cy="3141345"/>
                    </a:xfrm>
                    <a:prstGeom prst="rect">
                      <a:avLst/>
                    </a:prstGeom>
                    <a:noFill/>
                    <a:ln>
                      <a:noFill/>
                    </a:ln>
                  </pic:spPr>
                </pic:pic>
              </a:graphicData>
            </a:graphic>
          </wp:inline>
        </w:drawing>
      </w:r>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进入商城首页后，登录时选择采购人角色和对应的地区，输入用户名和密码（与山东政府采购信息公开平台的账号密码一致），输入验证码后点击【登录】，进入系统。</w:t>
      </w:r>
    </w:p>
    <w:p>
      <w:pPr>
        <w:ind w:firstLine="480"/>
      </w:pPr>
    </w:p>
    <w:p>
      <w:r>
        <w:drawing>
          <wp:inline distT="0" distB="0" distL="114300" distR="114300">
            <wp:extent cx="5264785" cy="3364865"/>
            <wp:effectExtent l="0" t="0" r="5715" b="6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
                    <a:stretch>
                      <a:fillRect/>
                    </a:stretch>
                  </pic:blipFill>
                  <pic:spPr>
                    <a:xfrm>
                      <a:off x="0" y="0"/>
                      <a:ext cx="5264785" cy="3364865"/>
                    </a:xfrm>
                    <a:prstGeom prst="rect">
                      <a:avLst/>
                    </a:prstGeom>
                    <a:noFill/>
                    <a:ln>
                      <a:noFill/>
                    </a:ln>
                  </pic:spPr>
                </pic:pic>
              </a:graphicData>
            </a:graphic>
          </wp:inline>
        </w:drawing>
      </w:r>
    </w:p>
    <w:p>
      <w:pPr>
        <w:jc w:val="center"/>
        <w:rPr>
          <w:sz w:val="24"/>
        </w:rPr>
      </w:pPr>
      <w:r>
        <w:drawing>
          <wp:inline distT="0" distB="0" distL="114300" distR="114300">
            <wp:extent cx="5267325" cy="2332990"/>
            <wp:effectExtent l="0" t="0" r="3175" b="63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7" cstate="print"/>
                    <a:stretch>
                      <a:fillRect/>
                    </a:stretch>
                  </pic:blipFill>
                  <pic:spPr>
                    <a:xfrm>
                      <a:off x="0" y="0"/>
                      <a:ext cx="5267325" cy="2332990"/>
                    </a:xfrm>
                    <a:prstGeom prst="rect">
                      <a:avLst/>
                    </a:prstGeom>
                    <a:noFill/>
                    <a:ln>
                      <a:noFill/>
                    </a:ln>
                  </pic:spPr>
                </pic:pic>
              </a:graphicData>
            </a:graphic>
          </wp:inline>
        </w:drawing>
      </w:r>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登录商城后，点击导航栏的【框架协议采购】，可进入框架协议采购专区。</w:t>
      </w:r>
    </w:p>
    <w:p>
      <w:pPr>
        <w:jc w:val="left"/>
      </w:pPr>
      <w:r>
        <w:drawing>
          <wp:inline distT="0" distB="0" distL="114300" distR="114300">
            <wp:extent cx="5266690" cy="231267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6690" cy="2312670"/>
                    </a:xfrm>
                    <a:prstGeom prst="rect">
                      <a:avLst/>
                    </a:prstGeom>
                    <a:noFill/>
                    <a:ln>
                      <a:noFill/>
                    </a:ln>
                  </pic:spPr>
                </pic:pic>
              </a:graphicData>
            </a:graphic>
          </wp:inline>
        </w:drawing>
      </w:r>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点击【框架协议】，可跳转至框架协议专区后台界面。</w:t>
      </w:r>
    </w:p>
    <w:p>
      <w:pPr>
        <w:jc w:val="left"/>
      </w:pPr>
      <w:r>
        <w:drawing>
          <wp:inline distT="0" distB="0" distL="114300" distR="114300">
            <wp:extent cx="5266690" cy="2493645"/>
            <wp:effectExtent l="0" t="0" r="381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5266690" cy="2493645"/>
                    </a:xfrm>
                    <a:prstGeom prst="rect">
                      <a:avLst/>
                    </a:prstGeom>
                    <a:noFill/>
                    <a:ln>
                      <a:noFill/>
                    </a:ln>
                  </pic:spPr>
                </pic:pic>
              </a:graphicData>
            </a:graphic>
          </wp:inline>
        </w:drawing>
      </w:r>
    </w:p>
    <w:p>
      <w:pPr>
        <w:pStyle w:val="14"/>
        <w:numPr>
          <w:ilvl w:val="0"/>
          <w:numId w:val="0"/>
        </w:numPr>
        <w:ind w:firstLine="562" w:firstLineChars="200"/>
        <w:rPr>
          <w:rFonts w:ascii="仿宋_GB2312" w:hAnsi="仿宋" w:eastAsia="仿宋_GB2312" w:cs="仿宋"/>
          <w:bCs/>
          <w:szCs w:val="28"/>
        </w:rPr>
      </w:pPr>
      <w:bookmarkStart w:id="15" w:name="_Toc25581"/>
      <w:bookmarkStart w:id="16" w:name="_Toc28401"/>
      <w:r>
        <w:rPr>
          <w:rFonts w:hint="eastAsia" w:ascii="仿宋_GB2312" w:hAnsi="仿宋" w:eastAsia="仿宋_GB2312" w:cs="仿宋"/>
          <w:bCs/>
          <w:szCs w:val="28"/>
        </w:rPr>
        <w:t>2.</w:t>
      </w:r>
      <w:bookmarkEnd w:id="15"/>
      <w:r>
        <w:rPr>
          <w:rFonts w:hint="eastAsia" w:ascii="仿宋_GB2312" w:hAnsi="仿宋" w:eastAsia="仿宋_GB2312" w:cs="仿宋"/>
          <w:bCs/>
          <w:szCs w:val="28"/>
        </w:rPr>
        <w:t>编制采购计划</w:t>
      </w:r>
      <w:bookmarkEnd w:id="16"/>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采购人通过预算管理一体化系统的政府采购模块中编制车辆保险采购计划，采购方式选择框架协议二阶段采购，政府采购品目为“财产保险服务”，采购编码为“C18040102”。采购计划生成后自动导入网上商城，采购人可在框采专区后台左侧列表中【计划管理】-【我的计划】中查找。</w:t>
      </w:r>
    </w:p>
    <w:p>
      <w:pPr>
        <w:jc w:val="left"/>
        <w:rPr>
          <w:sz w:val="24"/>
        </w:rPr>
      </w:pPr>
      <w:r>
        <w:rPr>
          <w:sz w:val="24"/>
        </w:rPr>
        <w:drawing>
          <wp:inline distT="0" distB="0" distL="114300" distR="114300">
            <wp:extent cx="5267960" cy="2552700"/>
            <wp:effectExtent l="0" t="0" r="2540" b="3175"/>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10"/>
                    <a:stretch>
                      <a:fillRect/>
                    </a:stretch>
                  </pic:blipFill>
                  <pic:spPr>
                    <a:xfrm>
                      <a:off x="0" y="0"/>
                      <a:ext cx="5267960" cy="2552700"/>
                    </a:xfrm>
                    <a:prstGeom prst="rect">
                      <a:avLst/>
                    </a:prstGeom>
                    <a:noFill/>
                    <a:ln>
                      <a:noFill/>
                    </a:ln>
                  </pic:spPr>
                </pic:pic>
              </a:graphicData>
            </a:graphic>
          </wp:inline>
        </w:drawing>
      </w:r>
    </w:p>
    <w:p>
      <w:pPr>
        <w:pStyle w:val="14"/>
        <w:numPr>
          <w:ilvl w:val="0"/>
          <w:numId w:val="0"/>
        </w:numPr>
        <w:ind w:firstLine="562" w:firstLineChars="200"/>
        <w:rPr>
          <w:rFonts w:ascii="仿宋_GB2312" w:hAnsi="仿宋" w:eastAsia="仿宋_GB2312" w:cs="仿宋"/>
          <w:bCs/>
          <w:szCs w:val="28"/>
        </w:rPr>
      </w:pPr>
      <w:bookmarkStart w:id="17" w:name="_Toc29386"/>
      <w:r>
        <w:rPr>
          <w:rFonts w:hint="eastAsia" w:ascii="仿宋_GB2312" w:hAnsi="仿宋" w:eastAsia="仿宋_GB2312" w:cs="仿宋"/>
          <w:bCs/>
          <w:szCs w:val="28"/>
        </w:rPr>
        <w:t>3.车辆信息</w:t>
      </w:r>
      <w:bookmarkEnd w:id="17"/>
      <w:r>
        <w:rPr>
          <w:rFonts w:hint="eastAsia" w:ascii="仿宋_GB2312" w:hAnsi="仿宋" w:eastAsia="仿宋_GB2312" w:cs="仿宋"/>
          <w:bCs/>
          <w:szCs w:val="28"/>
        </w:rPr>
        <w:t>登记入库</w:t>
      </w:r>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车辆保险采购前，采购人应提前将被保险车辆维护到车辆库中，点击左侧【框采服务管理】栏目下的【车辆库信息】-【新增】依次录入车辆信息并保存。</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552700"/>
            <wp:effectExtent l="0" t="0" r="2540" b="3175"/>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11"/>
                    <a:stretch>
                      <a:fillRect/>
                    </a:stretch>
                  </pic:blipFill>
                  <pic:spPr>
                    <a:xfrm>
                      <a:off x="0" y="0"/>
                      <a:ext cx="5267960" cy="2552700"/>
                    </a:xfrm>
                    <a:prstGeom prst="rect">
                      <a:avLst/>
                    </a:prstGeom>
                    <a:noFill/>
                    <a:ln>
                      <a:noFill/>
                    </a:ln>
                  </pic:spPr>
                </pic:pic>
              </a:graphicData>
            </a:graphic>
          </wp:inline>
        </w:drawing>
      </w:r>
    </w:p>
    <w:p>
      <w:pPr>
        <w:spacing w:line="580" w:lineRule="exact"/>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车辆详情需根据车辆行驶证信息准确录入，部分信息将在车辆保险、加油服务框架协议二阶段采购时自动带出使用。</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552700"/>
            <wp:effectExtent l="0" t="0" r="2540" b="317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12"/>
                    <a:stretch>
                      <a:fillRect/>
                    </a:stretch>
                  </pic:blipFill>
                  <pic:spPr>
                    <a:xfrm>
                      <a:off x="0" y="0"/>
                      <a:ext cx="5267960" cy="2552700"/>
                    </a:xfrm>
                    <a:prstGeom prst="rect">
                      <a:avLst/>
                    </a:prstGeom>
                    <a:noFill/>
                    <a:ln>
                      <a:noFill/>
                    </a:ln>
                  </pic:spPr>
                </pic:pic>
              </a:graphicData>
            </a:graphic>
          </wp:inline>
        </w:drawing>
      </w:r>
    </w:p>
    <w:p>
      <w:pPr>
        <w:pStyle w:val="14"/>
        <w:numPr>
          <w:ilvl w:val="0"/>
          <w:numId w:val="0"/>
        </w:numPr>
        <w:ind w:firstLine="562" w:firstLineChars="200"/>
        <w:rPr>
          <w:rFonts w:ascii="仿宋_GB2312" w:hAnsi="仿宋" w:eastAsia="仿宋_GB2312" w:cs="仿宋"/>
          <w:bCs/>
          <w:szCs w:val="28"/>
        </w:rPr>
      </w:pPr>
      <w:bookmarkStart w:id="18" w:name="_Toc11860"/>
      <w:r>
        <w:rPr>
          <w:rFonts w:hint="eastAsia" w:ascii="仿宋_GB2312" w:hAnsi="仿宋" w:eastAsia="仿宋_GB2312" w:cs="仿宋"/>
          <w:bCs/>
          <w:szCs w:val="28"/>
        </w:rPr>
        <w:t>4.发布项目</w:t>
      </w:r>
      <w:bookmarkEnd w:id="18"/>
    </w:p>
    <w:p>
      <w:pPr>
        <w:ind w:firstLine="532" w:firstLineChars="200"/>
        <w:jc w:val="left"/>
        <w:rPr>
          <w:rFonts w:ascii="仿宋" w:hAnsi="仿宋" w:eastAsia="仿宋" w:cs="仿宋"/>
          <w:sz w:val="28"/>
          <w:szCs w:val="28"/>
        </w:rPr>
      </w:pPr>
      <w:r>
        <w:rPr>
          <w:rFonts w:hint="eastAsia" w:ascii="仿宋_GB2312" w:hAnsi="仿宋" w:eastAsia="仿宋_GB2312" w:cs="仿宋"/>
          <w:spacing w:val="-7"/>
          <w:sz w:val="28"/>
          <w:szCs w:val="28"/>
        </w:rPr>
        <w:t>采购人点击【框采首页】，可进入框采专区首页，点击框采专区首页导航栏的【入围服务库】，选择采购品目【车辆保险服务】。</w:t>
      </w:r>
    </w:p>
    <w:p>
      <w:pPr>
        <w:jc w:val="left"/>
        <w:rPr>
          <w:rFonts w:ascii="仿宋" w:hAnsi="仿宋" w:eastAsia="仿宋" w:cs="仿宋"/>
          <w:sz w:val="28"/>
          <w:szCs w:val="28"/>
        </w:rPr>
      </w:pPr>
      <w:r>
        <w:drawing>
          <wp:inline distT="0" distB="0" distL="114300" distR="114300">
            <wp:extent cx="5266690" cy="1281430"/>
            <wp:effectExtent l="0" t="0" r="3810" b="444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3"/>
                    <a:stretch>
                      <a:fillRect/>
                    </a:stretch>
                  </pic:blipFill>
                  <pic:spPr>
                    <a:xfrm>
                      <a:off x="0" y="0"/>
                      <a:ext cx="5266690" cy="1281430"/>
                    </a:xfrm>
                    <a:prstGeom prst="rect">
                      <a:avLst/>
                    </a:prstGeom>
                    <a:noFill/>
                    <a:ln>
                      <a:noFill/>
                    </a:ln>
                  </pic:spPr>
                </pic:pic>
              </a:graphicData>
            </a:graphic>
          </wp:inline>
        </w:drawing>
      </w:r>
    </w:p>
    <w:p>
      <w:pPr>
        <w:jc w:val="left"/>
        <w:rPr>
          <w:rFonts w:ascii="仿宋" w:hAnsi="仿宋" w:eastAsia="仿宋" w:cs="仿宋"/>
          <w:sz w:val="28"/>
          <w:szCs w:val="28"/>
        </w:rPr>
      </w:pPr>
      <w:r>
        <w:drawing>
          <wp:inline distT="0" distB="0" distL="114300" distR="114300">
            <wp:extent cx="5266690" cy="2310765"/>
            <wp:effectExtent l="0" t="0" r="3810" b="698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4"/>
                    <a:stretch>
                      <a:fillRect/>
                    </a:stretch>
                  </pic:blipFill>
                  <pic:spPr>
                    <a:xfrm>
                      <a:off x="0" y="0"/>
                      <a:ext cx="5266690" cy="231076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在【车辆保险服务】页面会显示全省所有框架协议入围供应商，点击【是否我可购买】，筛选当前采购人可以采购的车辆保险入围供应商。</w:t>
      </w:r>
    </w:p>
    <w:p>
      <w:pPr>
        <w:jc w:val="left"/>
        <w:rPr>
          <w:rFonts w:ascii="仿宋" w:hAnsi="仿宋" w:eastAsia="仿宋" w:cs="仿宋"/>
          <w:sz w:val="28"/>
          <w:szCs w:val="28"/>
        </w:rPr>
      </w:pPr>
      <w:r>
        <w:drawing>
          <wp:inline distT="0" distB="0" distL="114300" distR="114300">
            <wp:extent cx="5268595" cy="2952750"/>
            <wp:effectExtent l="0" t="0" r="1905"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5"/>
                    <a:stretch>
                      <a:fillRect/>
                    </a:stretch>
                  </pic:blipFill>
                  <pic:spPr>
                    <a:xfrm>
                      <a:off x="0" y="0"/>
                      <a:ext cx="5268595" cy="295275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采购人点击供应商LOGO图片，进入供应商详情页，在可选协议中，查看供应商所有框采保险入围协议，选中适用采购人的协议。</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1892935"/>
            <wp:effectExtent l="0" t="0" r="0" b="0"/>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16"/>
                    <a:srcRect t="11990" b="13856"/>
                    <a:stretch>
                      <a:fillRect/>
                    </a:stretch>
                  </pic:blipFill>
                  <pic:spPr>
                    <a:xfrm>
                      <a:off x="0" y="0"/>
                      <a:ext cx="5267960" cy="189293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服务规格】展示供应商服务内容及报价详情，【服务介绍】展示公司介绍、服务承诺、资质资格等信息，【服务区域】展示供应商的经营地址，【成交记录】展示历史最低成交价格、历史平均成交价格以及近三个月的最低成交价格和平均成交价格。</w:t>
      </w:r>
    </w:p>
    <w:p>
      <w:pPr>
        <w:jc w:val="left"/>
        <w:rPr>
          <w:rFonts w:ascii="仿宋" w:hAnsi="仿宋" w:eastAsia="仿宋" w:cs="仿宋"/>
          <w:sz w:val="28"/>
          <w:szCs w:val="28"/>
        </w:rPr>
      </w:pPr>
      <w:r>
        <w:drawing>
          <wp:inline distT="0" distB="0" distL="114300" distR="114300">
            <wp:extent cx="5266690" cy="2597785"/>
            <wp:effectExtent l="0" t="0" r="3810" b="57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7"/>
                    <a:stretch>
                      <a:fillRect/>
                    </a:stretch>
                  </pic:blipFill>
                  <pic:spPr>
                    <a:xfrm>
                      <a:off x="0" y="0"/>
                      <a:ext cx="5266690" cy="259778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采购人点击【直接选定】，进入框采二阶段新建项目界面。</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1989455"/>
            <wp:effectExtent l="0" t="0" r="0" b="0"/>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18"/>
                    <a:srcRect t="10522" b="11542"/>
                    <a:stretch>
                      <a:fillRect/>
                    </a:stretch>
                  </pic:blipFill>
                  <pic:spPr>
                    <a:xfrm>
                      <a:off x="0" y="0"/>
                      <a:ext cx="5267960" cy="198945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采购人在新建项目界面录入本次采购需求信息，其中，项目基本信息中的【服务地址】可在【个人信息】中进行修改或新增。</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1963420"/>
            <wp:effectExtent l="0" t="0" r="0" b="0"/>
            <wp:docPr id="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19"/>
                    <a:srcRect b="23085"/>
                    <a:stretch>
                      <a:fillRect/>
                    </a:stretch>
                  </pic:blipFill>
                  <pic:spPr>
                    <a:xfrm>
                      <a:off x="0" y="0"/>
                      <a:ext cx="5267960" cy="196342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点击【选择计划】，计划列表中显示所有预算管理一体化系统导入的采购计划，选择本项目适用的采购计划。</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1856105"/>
            <wp:effectExtent l="0" t="0" r="0" b="0"/>
            <wp:docPr id="4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4"/>
                    <pic:cNvPicPr>
                      <a:picLocks noChangeAspect="1"/>
                    </pic:cNvPicPr>
                  </pic:nvPicPr>
                  <pic:blipFill>
                    <a:blip r:embed="rId20"/>
                    <a:srcRect b="27289"/>
                    <a:stretch>
                      <a:fillRect/>
                    </a:stretch>
                  </pic:blipFill>
                  <pic:spPr>
                    <a:xfrm>
                      <a:off x="0" y="0"/>
                      <a:ext cx="5267960" cy="185610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支付方式可选择【一次性支付】或【分期付款】，并录入具体支付要求。</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395855"/>
            <wp:effectExtent l="0" t="0" r="0" b="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pic:cNvPicPr>
                  </pic:nvPicPr>
                  <pic:blipFill>
                    <a:blip r:embed="rId21"/>
                    <a:srcRect t="6144"/>
                    <a:stretch>
                      <a:fillRect/>
                    </a:stretch>
                  </pic:blipFill>
                  <pic:spPr>
                    <a:xfrm>
                      <a:off x="0" y="0"/>
                      <a:ext cx="5267960" cy="239585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在采购需求环节，点击【添加车辆】，调取车辆库信息，添加需要购买保险的车辆。</w:t>
      </w:r>
    </w:p>
    <w:p>
      <w:pPr>
        <w:jc w:val="left"/>
        <w:rPr>
          <w:rFonts w:ascii="仿宋" w:hAnsi="仿宋" w:eastAsia="仿宋" w:cs="仿宋"/>
          <w:sz w:val="28"/>
          <w:szCs w:val="28"/>
        </w:rPr>
      </w:pPr>
      <w:r>
        <w:drawing>
          <wp:inline distT="0" distB="0" distL="114300" distR="114300">
            <wp:extent cx="5186680" cy="2745740"/>
            <wp:effectExtent l="0" t="0" r="4445" b="63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2"/>
                    <a:srcRect r="2906"/>
                    <a:stretch>
                      <a:fillRect/>
                    </a:stretch>
                  </pic:blipFill>
                  <pic:spPr>
                    <a:xfrm>
                      <a:off x="0" y="0"/>
                      <a:ext cx="5186680" cy="274574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选择车辆后，点击【确定】，若车辆库中没有要购买保险的车辆，需在【框采服务管理】-【车辆库信息】中，点击【新增】，维护完车辆信息后，在此处选择。</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552700"/>
            <wp:effectExtent l="0" t="0" r="2540" b="3175"/>
            <wp:docPr id="5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7"/>
                    <pic:cNvPicPr>
                      <a:picLocks noChangeAspect="1"/>
                    </pic:cNvPicPr>
                  </pic:nvPicPr>
                  <pic:blipFill>
                    <a:blip r:embed="rId23"/>
                    <a:stretch>
                      <a:fillRect/>
                    </a:stretch>
                  </pic:blipFill>
                  <pic:spPr>
                    <a:xfrm>
                      <a:off x="0" y="0"/>
                      <a:ext cx="5267960" cy="255270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添加需要购买保险的车辆后，需在【保险类型】处勾选此辆车购买的保险类型，商业险、交强险、车船税三项可复选。</w:t>
      </w:r>
    </w:p>
    <w:p>
      <w:pPr>
        <w:jc w:val="left"/>
        <w:rPr>
          <w:rFonts w:ascii="仿宋" w:hAnsi="仿宋" w:eastAsia="仿宋" w:cs="仿宋"/>
          <w:sz w:val="28"/>
          <w:szCs w:val="28"/>
        </w:rPr>
      </w:pPr>
      <w:r>
        <w:drawing>
          <wp:inline distT="0" distB="0" distL="114300" distR="114300">
            <wp:extent cx="5266690" cy="215900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4"/>
                    <a:srcRect b="16891"/>
                    <a:stretch>
                      <a:fillRect/>
                    </a:stretch>
                  </pic:blipFill>
                  <pic:spPr>
                    <a:xfrm>
                      <a:off x="0" y="0"/>
                      <a:ext cx="5266690" cy="215900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如勾选商业险，还需要录入商业险具体险种及保额。</w:t>
      </w:r>
    </w:p>
    <w:p>
      <w:pPr>
        <w:ind w:firstLine="420" w:firstLineChars="200"/>
        <w:jc w:val="left"/>
        <w:rPr>
          <w:rFonts w:ascii="仿宋" w:hAnsi="仿宋" w:eastAsia="仿宋" w:cs="仿宋"/>
          <w:sz w:val="28"/>
          <w:szCs w:val="28"/>
        </w:rPr>
      </w:pPr>
      <w:r>
        <w:drawing>
          <wp:inline distT="0" distB="0" distL="114300" distR="114300">
            <wp:extent cx="5273040" cy="2204085"/>
            <wp:effectExtent l="0" t="0" r="1333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5"/>
                    <a:stretch>
                      <a:fillRect/>
                    </a:stretch>
                  </pic:blipFill>
                  <pic:spPr>
                    <a:xfrm>
                      <a:off x="0" y="0"/>
                      <a:ext cx="5273040" cy="220408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若本项目需要为多辆车购买保险，点击【添加车辆】，按上述步骤继续新增。</w:t>
      </w:r>
    </w:p>
    <w:p>
      <w:pPr>
        <w:jc w:val="left"/>
        <w:rPr>
          <w:rFonts w:ascii="仿宋" w:hAnsi="仿宋" w:eastAsia="仿宋" w:cs="仿宋"/>
          <w:sz w:val="28"/>
          <w:szCs w:val="28"/>
        </w:rPr>
      </w:pPr>
      <w:r>
        <w:drawing>
          <wp:inline distT="0" distB="0" distL="114300" distR="114300">
            <wp:extent cx="5266690" cy="2052320"/>
            <wp:effectExtent l="0" t="0" r="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6"/>
                    <a:srcRect b="20997"/>
                    <a:stretch>
                      <a:fillRect/>
                    </a:stretch>
                  </pic:blipFill>
                  <pic:spPr>
                    <a:xfrm>
                      <a:off x="0" y="0"/>
                      <a:ext cx="5266690" cy="205232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若本项目有其他需要备注的服务需求，可以点击【新增服务要求】，录入本项目的服务需求，本栏目可选填。</w:t>
      </w:r>
    </w:p>
    <w:p>
      <w:pPr>
        <w:jc w:val="left"/>
        <w:rPr>
          <w:rFonts w:ascii="仿宋" w:hAnsi="仿宋" w:eastAsia="仿宋" w:cs="仿宋"/>
          <w:sz w:val="28"/>
          <w:szCs w:val="28"/>
        </w:rPr>
      </w:pPr>
      <w:r>
        <w:drawing>
          <wp:inline distT="0" distB="0" distL="114300" distR="114300">
            <wp:extent cx="5266690" cy="2055495"/>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7"/>
                    <a:srcRect b="20875"/>
                    <a:stretch>
                      <a:fillRect/>
                    </a:stretch>
                  </pic:blipFill>
                  <pic:spPr>
                    <a:xfrm>
                      <a:off x="0" y="0"/>
                      <a:ext cx="5266690" cy="205549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在发票信息处，可新增或修改采购人的发票信息等。</w:t>
      </w:r>
    </w:p>
    <w:p>
      <w:pPr>
        <w:jc w:val="left"/>
        <w:rPr>
          <w:rFonts w:ascii="仿宋" w:hAnsi="仿宋" w:eastAsia="仿宋" w:cs="仿宋"/>
          <w:sz w:val="28"/>
          <w:szCs w:val="28"/>
        </w:rPr>
      </w:pPr>
      <w:r>
        <w:drawing>
          <wp:inline distT="0" distB="0" distL="114300" distR="114300">
            <wp:extent cx="5266690" cy="2597785"/>
            <wp:effectExtent l="0" t="0" r="3810" b="571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8"/>
                    <a:stretch>
                      <a:fillRect/>
                    </a:stretch>
                  </pic:blipFill>
                  <pic:spPr>
                    <a:xfrm>
                      <a:off x="0" y="0"/>
                      <a:ext cx="5266690" cy="2597785"/>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项目信息填写完成后，点击【发布项目】，直接选定的车辆保险供应商可收到项目报价信息并参与报价。</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552700"/>
            <wp:effectExtent l="0" t="0" r="2540" b="3175"/>
            <wp:docPr id="6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3"/>
                    <pic:cNvPicPr>
                      <a:picLocks noChangeAspect="1"/>
                    </pic:cNvPicPr>
                  </pic:nvPicPr>
                  <pic:blipFill>
                    <a:blip r:embed="rId29">
                      <a:clrChange>
                        <a:clrFrom>
                          <a:srgbClr val="F5F7FA">
                            <a:alpha val="100000"/>
                          </a:srgbClr>
                        </a:clrFrom>
                        <a:clrTo>
                          <a:srgbClr val="F5F7FA">
                            <a:alpha val="100000"/>
                            <a:alpha val="0"/>
                          </a:srgbClr>
                        </a:clrTo>
                      </a:clrChange>
                    </a:blip>
                    <a:stretch>
                      <a:fillRect/>
                    </a:stretch>
                  </pic:blipFill>
                  <pic:spPr>
                    <a:xfrm>
                      <a:off x="0" y="0"/>
                      <a:ext cx="5267960" cy="2552700"/>
                    </a:xfrm>
                    <a:prstGeom prst="rect">
                      <a:avLst/>
                    </a:prstGeom>
                    <a:noFill/>
                    <a:ln>
                      <a:noFill/>
                    </a:ln>
                  </pic:spPr>
                </pic:pic>
              </a:graphicData>
            </a:graphic>
          </wp:inline>
        </w:drawing>
      </w:r>
    </w:p>
    <w:p>
      <w:pPr>
        <w:pStyle w:val="14"/>
        <w:numPr>
          <w:ilvl w:val="0"/>
          <w:numId w:val="0"/>
        </w:numPr>
        <w:ind w:firstLine="562" w:firstLineChars="200"/>
        <w:rPr>
          <w:rFonts w:ascii="仿宋_GB2312" w:hAnsi="仿宋" w:eastAsia="仿宋_GB2312" w:cs="仿宋"/>
          <w:bCs/>
          <w:szCs w:val="28"/>
        </w:rPr>
      </w:pPr>
      <w:bookmarkStart w:id="19" w:name="_Toc30371"/>
      <w:r>
        <w:rPr>
          <w:rFonts w:hint="eastAsia" w:ascii="仿宋_GB2312" w:hAnsi="仿宋" w:eastAsia="仿宋_GB2312" w:cs="仿宋"/>
          <w:bCs/>
          <w:szCs w:val="28"/>
        </w:rPr>
        <w:t>5.确认</w:t>
      </w:r>
      <w:bookmarkEnd w:id="19"/>
      <w:r>
        <w:rPr>
          <w:rFonts w:hint="eastAsia" w:ascii="仿宋_GB2312" w:hAnsi="仿宋" w:eastAsia="仿宋_GB2312" w:cs="仿宋"/>
          <w:bCs/>
          <w:szCs w:val="28"/>
        </w:rPr>
        <w:t>成交</w:t>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供应商提交报价后，采购人可在【直接选定】项目列表中查看，项目状态变为结果待确认，点击【查看】-【确认成交结果】，可查看供应商报价总额及报价时间。</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1896110"/>
            <wp:effectExtent l="0" t="0" r="0" b="0"/>
            <wp:docPr id="7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0"/>
                    <pic:cNvPicPr>
                      <a:picLocks noChangeAspect="1"/>
                    </pic:cNvPicPr>
                  </pic:nvPicPr>
                  <pic:blipFill>
                    <a:blip r:embed="rId30"/>
                    <a:srcRect b="25721"/>
                    <a:stretch>
                      <a:fillRect/>
                    </a:stretch>
                  </pic:blipFill>
                  <pic:spPr>
                    <a:xfrm>
                      <a:off x="0" y="0"/>
                      <a:ext cx="5267960" cy="1896110"/>
                    </a:xfrm>
                    <a:prstGeom prst="rect">
                      <a:avLst/>
                    </a:prstGeom>
                    <a:noFill/>
                    <a:ln>
                      <a:noFill/>
                    </a:ln>
                  </pic:spPr>
                </pic:pic>
              </a:graphicData>
            </a:graphic>
          </wp:inline>
        </w:drawing>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160270"/>
            <wp:effectExtent l="0" t="0" r="0" b="0"/>
            <wp:docPr id="7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1"/>
                    <pic:cNvPicPr>
                      <a:picLocks noChangeAspect="1"/>
                    </pic:cNvPicPr>
                  </pic:nvPicPr>
                  <pic:blipFill>
                    <a:blip r:embed="rId31"/>
                    <a:srcRect b="15373"/>
                    <a:stretch>
                      <a:fillRect/>
                    </a:stretch>
                  </pic:blipFill>
                  <pic:spPr>
                    <a:xfrm>
                      <a:off x="0" y="0"/>
                      <a:ext cx="5267960" cy="2160270"/>
                    </a:xfrm>
                    <a:prstGeom prst="rect">
                      <a:avLst/>
                    </a:prstGeom>
                    <a:noFill/>
                    <a:ln>
                      <a:noFill/>
                    </a:ln>
                  </pic:spPr>
                </pic:pic>
              </a:graphicData>
            </a:graphic>
          </wp:inline>
        </w:drawing>
      </w:r>
      <w:r>
        <w:rPr>
          <w:rFonts w:hint="eastAsia" w:ascii="仿宋" w:hAnsi="仿宋" w:eastAsia="仿宋" w:cs="仿宋"/>
          <w:sz w:val="28"/>
          <w:szCs w:val="28"/>
        </w:rPr>
        <w:drawing>
          <wp:inline distT="0" distB="0" distL="114300" distR="114300">
            <wp:extent cx="5267960" cy="2552700"/>
            <wp:effectExtent l="0" t="0" r="2540" b="3175"/>
            <wp:docPr id="8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2"/>
                    <pic:cNvPicPr>
                      <a:picLocks noChangeAspect="1"/>
                    </pic:cNvPicPr>
                  </pic:nvPicPr>
                  <pic:blipFill>
                    <a:blip r:embed="rId32"/>
                    <a:stretch>
                      <a:fillRect/>
                    </a:stretch>
                  </pic:blipFill>
                  <pic:spPr>
                    <a:xfrm>
                      <a:off x="0" y="0"/>
                      <a:ext cx="5267960" cy="255270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点击【查看报价详情】，可查看每辆参保车辆和每种保险类型的具体金额及保险起止时间。</w:t>
      </w:r>
    </w:p>
    <w:p>
      <w:pPr>
        <w:jc w:val="left"/>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7960" cy="2552700"/>
            <wp:effectExtent l="0" t="0" r="2540" b="3175"/>
            <wp:docPr id="8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3"/>
                    <pic:cNvPicPr>
                      <a:picLocks noChangeAspect="1"/>
                    </pic:cNvPicPr>
                  </pic:nvPicPr>
                  <pic:blipFill>
                    <a:blip r:embed="rId33"/>
                    <a:stretch>
                      <a:fillRect/>
                    </a:stretch>
                  </pic:blipFill>
                  <pic:spPr>
                    <a:xfrm>
                      <a:off x="0" y="0"/>
                      <a:ext cx="5267960" cy="2552700"/>
                    </a:xfrm>
                    <a:prstGeom prst="rect">
                      <a:avLst/>
                    </a:prstGeom>
                    <a:noFill/>
                    <a:ln>
                      <a:noFill/>
                    </a:ln>
                  </pic:spPr>
                </pic:pic>
              </a:graphicData>
            </a:graphic>
          </wp:inline>
        </w:drawing>
      </w:r>
    </w:p>
    <w:p>
      <w:pPr>
        <w:ind w:firstLine="532" w:firstLineChars="200"/>
        <w:jc w:val="left"/>
        <w:rPr>
          <w:rFonts w:ascii="仿宋_GB2312" w:hAnsi="仿宋" w:eastAsia="仿宋_GB2312" w:cs="仿宋"/>
          <w:spacing w:val="-7"/>
          <w:sz w:val="28"/>
          <w:szCs w:val="28"/>
        </w:rPr>
      </w:pPr>
      <w:r>
        <w:rPr>
          <w:rFonts w:hint="eastAsia" w:ascii="仿宋_GB2312" w:hAnsi="仿宋" w:eastAsia="仿宋_GB2312" w:cs="仿宋"/>
          <w:spacing w:val="-7"/>
          <w:sz w:val="28"/>
          <w:szCs w:val="28"/>
        </w:rPr>
        <w:t>确认无误后，点击【确认成交结果】，项目即可成交。成交信息自动导入预算管理一体化系统，采购人登录预算管理一体化系统生成采购凭证，按约定支付保费。</w:t>
      </w:r>
    </w:p>
    <w:p>
      <w:r>
        <w:rPr>
          <w:sz w:val="24"/>
        </w:rPr>
        <w:drawing>
          <wp:inline distT="0" distB="0" distL="114300" distR="114300">
            <wp:extent cx="5267960" cy="2552700"/>
            <wp:effectExtent l="0" t="0" r="2540" b="3175"/>
            <wp:docPr id="8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4"/>
                    <pic:cNvPicPr>
                      <a:picLocks noChangeAspect="1"/>
                    </pic:cNvPicPr>
                  </pic:nvPicPr>
                  <pic:blipFill>
                    <a:blip r:embed="rId34"/>
                    <a:stretch>
                      <a:fillRect/>
                    </a:stretch>
                  </pic:blipFill>
                  <pic:spPr>
                    <a:xfrm>
                      <a:off x="0" y="0"/>
                      <a:ext cx="5267960" cy="2552700"/>
                    </a:xfrm>
                    <a:prstGeom prst="rect">
                      <a:avLst/>
                    </a:prstGeom>
                    <a:noFill/>
                    <a:ln>
                      <a:noFill/>
                    </a:ln>
                  </pic:spPr>
                </pic:pic>
              </a:graphicData>
            </a:graphic>
          </wp:inline>
        </w:drawing>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F08CA69-D8E4-4FEF-B9CB-F08B50943C2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A23255A-2B64-4679-93FA-59B99BD8BEB6}"/>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embedRegular r:id="rId3" w:fontKey="{93CA1D3C-336B-4AB0-8F31-C63CF2259AC4}"/>
  </w:font>
  <w:font w:name="方正小标宋简体">
    <w:panose1 w:val="02000000000000000000"/>
    <w:charset w:val="86"/>
    <w:family w:val="auto"/>
    <w:pitch w:val="default"/>
    <w:sig w:usb0="00000001" w:usb1="080E0000" w:usb2="00000000" w:usb3="00000000" w:csb0="00040000" w:csb1="00000000"/>
    <w:embedRegular r:id="rId4" w:fontKey="{DA3A165D-A378-4EF3-AD17-303339E29EA4}"/>
  </w:font>
  <w:font w:name="仿宋">
    <w:panose1 w:val="02010609060101010101"/>
    <w:charset w:val="86"/>
    <w:family w:val="modern"/>
    <w:pitch w:val="default"/>
    <w:sig w:usb0="800002BF" w:usb1="38CF7CFA" w:usb2="00000016" w:usb3="00000000" w:csb0="00040001" w:csb1="00000000"/>
    <w:embedRegular r:id="rId5" w:fontKey="{D5FAAB6B-6F4F-4050-90B1-2F930F7C7341}"/>
  </w:font>
  <w:font w:name="仿宋_GB2312">
    <w:panose1 w:val="02010609030101010101"/>
    <w:charset w:val="86"/>
    <w:family w:val="modern"/>
    <w:pitch w:val="default"/>
    <w:sig w:usb0="00000001" w:usb1="080E0000" w:usb2="00000000" w:usb3="00000000" w:csb0="00040000" w:csb1="00000000"/>
    <w:embedRegular r:id="rId6" w:fontKey="{00583711-EF35-4969-A715-F16B5374828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m63mM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Jut5jKwIAAFcEAAAOAAAAAAAAAAEAIAAAAB8BAABkcnMvZTJvRG9jLnhtbFBLBQYAAAAABgAG&#10;AFkBAAC8BQ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BD8135"/>
    <w:multiLevelType w:val="singleLevel"/>
    <w:tmpl w:val="D8BD8135"/>
    <w:lvl w:ilvl="0" w:tentative="0">
      <w:start w:val="1"/>
      <w:numFmt w:val="chineseCounting"/>
      <w:pStyle w:val="14"/>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Y4MWFiMjZiNmIzYWUyODJkYWJjMGE5MGFjZmRiMzEifQ=="/>
  </w:docVars>
  <w:rsids>
    <w:rsidRoot w:val="49FB01E2"/>
    <w:rsid w:val="000070A9"/>
    <w:rsid w:val="00235FB5"/>
    <w:rsid w:val="002B5D32"/>
    <w:rsid w:val="002C224F"/>
    <w:rsid w:val="002C69E8"/>
    <w:rsid w:val="00300FAB"/>
    <w:rsid w:val="003435CB"/>
    <w:rsid w:val="005D530A"/>
    <w:rsid w:val="005E64F8"/>
    <w:rsid w:val="006E01B2"/>
    <w:rsid w:val="0082531E"/>
    <w:rsid w:val="009C4457"/>
    <w:rsid w:val="00BE404A"/>
    <w:rsid w:val="00BF0DD5"/>
    <w:rsid w:val="00E0219C"/>
    <w:rsid w:val="09A06269"/>
    <w:rsid w:val="0AAB68E8"/>
    <w:rsid w:val="0AFC2C93"/>
    <w:rsid w:val="19340A7D"/>
    <w:rsid w:val="269A1C43"/>
    <w:rsid w:val="32121738"/>
    <w:rsid w:val="3EB70DA6"/>
    <w:rsid w:val="49FB01E2"/>
    <w:rsid w:val="4D656722"/>
    <w:rsid w:val="50131BB5"/>
    <w:rsid w:val="50A910D7"/>
    <w:rsid w:val="59F224F2"/>
    <w:rsid w:val="6079019F"/>
    <w:rsid w:val="651077E5"/>
    <w:rsid w:val="65FF1043"/>
    <w:rsid w:val="6ABC1C51"/>
    <w:rsid w:val="6AFF7040"/>
    <w:rsid w:val="75AA7D20"/>
    <w:rsid w:val="79012408"/>
    <w:rsid w:val="7AF17A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0"/>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caption"/>
    <w:basedOn w:val="1"/>
    <w:next w:val="1"/>
    <w:qFormat/>
    <w:uiPriority w:val="0"/>
    <w:rPr>
      <w:rFonts w:ascii="Calibri Light" w:hAnsi="Calibri Light" w:eastAsia="黑体"/>
      <w:sz w:val="20"/>
      <w:szCs w:val="20"/>
    </w:rPr>
  </w:style>
  <w:style w:type="paragraph" w:styleId="5">
    <w:name w:val="Balloon Text"/>
    <w:basedOn w:val="1"/>
    <w:link w:val="17"/>
    <w:qFormat/>
    <w:uiPriority w:val="0"/>
    <w:rPr>
      <w:sz w:val="18"/>
      <w:szCs w:val="18"/>
    </w:rPr>
  </w:style>
  <w:style w:type="paragraph" w:styleId="6">
    <w:name w:val="footer"/>
    <w:basedOn w:val="1"/>
    <w:qFormat/>
    <w:uiPriority w:val="99"/>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toc 1"/>
    <w:basedOn w:val="1"/>
    <w:next w:val="1"/>
    <w:qFormat/>
    <w:uiPriority w:val="0"/>
  </w:style>
  <w:style w:type="paragraph" w:styleId="9">
    <w:name w:val="toc 2"/>
    <w:basedOn w:val="1"/>
    <w:next w:val="1"/>
    <w:qFormat/>
    <w:uiPriority w:val="0"/>
    <w:pPr>
      <w:ind w:left="420" w:leftChars="200"/>
    </w:pPr>
  </w:style>
  <w:style w:type="paragraph" w:styleId="10">
    <w:name w:val="Title"/>
    <w:basedOn w:val="1"/>
    <w:qFormat/>
    <w:uiPriority w:val="0"/>
    <w:pPr>
      <w:spacing w:before="240" w:after="60"/>
      <w:jc w:val="center"/>
      <w:outlineLvl w:val="0"/>
    </w:pPr>
    <w:rPr>
      <w:rFonts w:ascii="Arial" w:hAnsi="Arial"/>
      <w:b/>
      <w:sz w:val="32"/>
    </w:rPr>
  </w:style>
  <w:style w:type="character" w:styleId="13">
    <w:name w:val="Hyperlink"/>
    <w:basedOn w:val="12"/>
    <w:qFormat/>
    <w:uiPriority w:val="0"/>
    <w:rPr>
      <w:color w:val="0000FF"/>
      <w:u w:val="single"/>
    </w:rPr>
  </w:style>
  <w:style w:type="paragraph" w:customStyle="1" w:styleId="14">
    <w:name w:val="样式1"/>
    <w:basedOn w:val="10"/>
    <w:qFormat/>
    <w:uiPriority w:val="0"/>
    <w:pPr>
      <w:numPr>
        <w:ilvl w:val="0"/>
        <w:numId w:val="1"/>
      </w:numPr>
      <w:jc w:val="left"/>
    </w:pPr>
    <w:rPr>
      <w:rFonts w:asciiTheme="minorHAnsi" w:hAnsiTheme="minorHAnsi"/>
      <w:sz w:val="28"/>
    </w:rPr>
  </w:style>
  <w:style w:type="paragraph" w:customStyle="1" w:styleId="15">
    <w:name w:val="WPSOffice手动目录 1"/>
    <w:qFormat/>
    <w:uiPriority w:val="0"/>
    <w:rPr>
      <w:rFonts w:asciiTheme="minorHAnsi" w:hAnsiTheme="minorHAnsi" w:eastAsiaTheme="minorEastAsia" w:cstheme="minorBidi"/>
      <w:lang w:val="en-US" w:eastAsia="zh-CN" w:bidi="ar-SA"/>
    </w:rPr>
  </w:style>
  <w:style w:type="paragraph" w:customStyle="1" w:styleId="16">
    <w:name w:val="WPSOffice手动目录 2"/>
    <w:qFormat/>
    <w:uiPriority w:val="0"/>
    <w:pPr>
      <w:ind w:left="200" w:leftChars="200"/>
    </w:pPr>
    <w:rPr>
      <w:rFonts w:asciiTheme="minorHAnsi" w:hAnsiTheme="minorHAnsi" w:eastAsiaTheme="minorEastAsia" w:cstheme="minorBidi"/>
      <w:lang w:val="en-US" w:eastAsia="zh-CN" w:bidi="ar-SA"/>
    </w:rPr>
  </w:style>
  <w:style w:type="character" w:customStyle="1" w:styleId="17">
    <w:name w:val="批注框文本 Char"/>
    <w:basedOn w:val="12"/>
    <w:link w:val="5"/>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神州网信技术有限公司</Company>
  <Pages>16</Pages>
  <Words>2287</Words>
  <Characters>2442</Characters>
  <Lines>5</Lines>
  <Paragraphs>5</Paragraphs>
  <TotalTime>0</TotalTime>
  <ScaleCrop>false</ScaleCrop>
  <LinksUpToDate>false</LinksUpToDate>
  <CharactersWithSpaces>2465</CharactersWithSpaces>
  <Application>WPS Office_12.1.0.15066_F1E327BC-269C-435d-A152-05C5408002CA</Application>
  <DocSecurity>4</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2023-04-21T03:19:00Z</dcterms:created>
  <dc:creator>admin</dc:creator>
  <cp:lastModifiedBy>邦妮妈甜智</cp:lastModifiedBy>
  <dcterms:modified xsi:type="dcterms:W3CDTF">2023-07-12T02:38:24Z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2052-12.1.0.15066</vt:lpwstr>
  </property>
  <property fmtid="{D5CDD505-2E9C-101B-9397-08002B2CF9AE}" pid="3" name="ICV">
    <vt:lpwstr>C8706A42D89B4BC8A832092F5D03828F_13</vt:lpwstr>
  </property>
</Properties>
</file>