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outlineLvl w:val="0"/>
        <w:rPr>
          <w:rFonts w:ascii="微软雅黑" w:hAnsi="微软雅黑" w:eastAsia="微软雅黑" w:cs="微软雅黑"/>
          <w:sz w:val="72"/>
          <w:szCs w:val="72"/>
        </w:rPr>
      </w:pPr>
      <w:bookmarkStart w:id="0" w:name="_Toc17549"/>
    </w:p>
    <w:p>
      <w:pPr>
        <w:jc w:val="center"/>
        <w:outlineLvl w:val="0"/>
        <w:rPr>
          <w:rFonts w:ascii="微软雅黑" w:hAnsi="微软雅黑" w:eastAsia="微软雅黑" w:cs="微软雅黑"/>
          <w:sz w:val="72"/>
          <w:szCs w:val="72"/>
        </w:rPr>
      </w:pPr>
    </w:p>
    <w:p>
      <w:pPr>
        <w:jc w:val="center"/>
        <w:outlineLvl w:val="0"/>
        <w:rPr>
          <w:rFonts w:ascii="方正小标宋简体" w:hAnsi="微软雅黑" w:eastAsia="方正小标宋简体" w:cs="微软雅黑"/>
          <w:sz w:val="52"/>
          <w:szCs w:val="52"/>
        </w:rPr>
      </w:pPr>
      <w:bookmarkStart w:id="1" w:name="_Toc29553"/>
      <w:bookmarkStart w:id="2" w:name="_Toc29523"/>
      <w:bookmarkStart w:id="3" w:name="_Toc24269"/>
      <w:bookmarkStart w:id="4" w:name="_Toc1092"/>
      <w:bookmarkStart w:id="5" w:name="_Toc21952"/>
      <w:r>
        <w:rPr>
          <w:rFonts w:hint="eastAsia" w:ascii="方正小标宋简体" w:hAnsi="微软雅黑" w:eastAsia="方正小标宋简体" w:cs="微软雅黑"/>
          <w:sz w:val="52"/>
          <w:szCs w:val="52"/>
        </w:rPr>
        <w:t>物业管理服务</w:t>
      </w:r>
      <w:bookmarkStart w:id="26" w:name="_GoBack"/>
      <w:bookmarkEnd w:id="26"/>
      <w:r>
        <w:rPr>
          <w:rFonts w:hint="eastAsia" w:ascii="方正小标宋简体" w:hAnsi="微软雅黑" w:eastAsia="方正小标宋简体" w:cs="微软雅黑"/>
          <w:sz w:val="52"/>
          <w:szCs w:val="52"/>
        </w:rPr>
        <w:t>框架协议</w:t>
      </w:r>
      <w:bookmarkEnd w:id="1"/>
      <w:bookmarkEnd w:id="2"/>
      <w:bookmarkEnd w:id="3"/>
      <w:bookmarkEnd w:id="4"/>
    </w:p>
    <w:p>
      <w:pPr>
        <w:jc w:val="center"/>
        <w:outlineLvl w:val="0"/>
        <w:rPr>
          <w:rFonts w:ascii="方正小标宋简体" w:hAnsi="微软雅黑" w:eastAsia="方正小标宋简体" w:cs="微软雅黑"/>
          <w:sz w:val="52"/>
          <w:szCs w:val="52"/>
        </w:rPr>
      </w:pPr>
      <w:bookmarkStart w:id="6" w:name="_Toc23837"/>
      <w:bookmarkStart w:id="7" w:name="_Toc17263"/>
      <w:bookmarkStart w:id="8" w:name="_Toc8933"/>
      <w:bookmarkStart w:id="9" w:name="_Toc30553"/>
      <w:r>
        <w:rPr>
          <w:rFonts w:hint="eastAsia" w:ascii="方正小标宋简体" w:hAnsi="微软雅黑" w:eastAsia="方正小标宋简体" w:cs="微软雅黑"/>
          <w:sz w:val="52"/>
          <w:szCs w:val="52"/>
        </w:rPr>
        <w:t>二阶段</w:t>
      </w:r>
      <w:bookmarkEnd w:id="0"/>
      <w:bookmarkEnd w:id="5"/>
      <w:r>
        <w:rPr>
          <w:rFonts w:hint="eastAsia" w:ascii="方正小标宋简体" w:hAnsi="微软雅黑" w:eastAsia="方正小标宋简体" w:cs="微软雅黑"/>
          <w:sz w:val="52"/>
          <w:szCs w:val="52"/>
        </w:rPr>
        <w:t>采购操作手册</w:t>
      </w:r>
      <w:bookmarkEnd w:id="6"/>
      <w:bookmarkEnd w:id="7"/>
      <w:bookmarkEnd w:id="8"/>
      <w:bookmarkEnd w:id="9"/>
    </w:p>
    <w:p>
      <w:pPr>
        <w:jc w:val="center"/>
        <w:outlineLvl w:val="0"/>
        <w:rPr>
          <w:rFonts w:ascii="方正小标宋简体" w:hAnsi="微软雅黑" w:eastAsia="方正小标宋简体" w:cs="微软雅黑"/>
          <w:sz w:val="52"/>
          <w:szCs w:val="52"/>
        </w:rPr>
      </w:pPr>
      <w:bookmarkStart w:id="10" w:name="_Toc9368"/>
      <w:bookmarkStart w:id="11" w:name="_Toc19849"/>
      <w:bookmarkStart w:id="12" w:name="_Toc29976"/>
      <w:bookmarkStart w:id="13" w:name="_Toc32351"/>
      <w:r>
        <w:rPr>
          <w:rFonts w:hint="eastAsia" w:ascii="方正小标宋简体" w:hAnsi="微软雅黑" w:eastAsia="方正小标宋简体" w:cs="微软雅黑"/>
          <w:sz w:val="52"/>
          <w:szCs w:val="52"/>
        </w:rPr>
        <w:t>（采购人版1.0）</w:t>
      </w:r>
      <w:bookmarkEnd w:id="10"/>
      <w:bookmarkEnd w:id="11"/>
      <w:bookmarkEnd w:id="12"/>
      <w:bookmarkEnd w:id="13"/>
    </w:p>
    <w:p>
      <w:pPr>
        <w:jc w:val="center"/>
        <w:outlineLvl w:val="0"/>
        <w:rPr>
          <w:rFonts w:ascii="方正小标宋简体" w:hAnsi="微软雅黑" w:eastAsia="方正小标宋简体" w:cs="微软雅黑"/>
          <w:sz w:val="52"/>
          <w:szCs w:val="52"/>
        </w:rPr>
      </w:pPr>
    </w:p>
    <w:p>
      <w:pPr>
        <w:jc w:val="center"/>
        <w:outlineLvl w:val="0"/>
        <w:rPr>
          <w:rFonts w:ascii="方正小标宋简体" w:hAnsi="微软雅黑" w:eastAsia="方正小标宋简体" w:cs="微软雅黑"/>
          <w:sz w:val="52"/>
          <w:szCs w:val="52"/>
        </w:rPr>
      </w:pPr>
    </w:p>
    <w:p>
      <w:pPr>
        <w:jc w:val="center"/>
        <w:outlineLvl w:val="0"/>
        <w:rPr>
          <w:rFonts w:ascii="方正小标宋简体" w:hAnsi="微软雅黑" w:eastAsia="方正小标宋简体" w:cs="微软雅黑"/>
          <w:sz w:val="52"/>
          <w:szCs w:val="52"/>
        </w:rPr>
      </w:pPr>
    </w:p>
    <w:p>
      <w:pPr>
        <w:jc w:val="center"/>
        <w:outlineLvl w:val="0"/>
        <w:rPr>
          <w:rFonts w:ascii="方正小标宋简体" w:hAnsi="微软雅黑" w:eastAsia="方正小标宋简体" w:cs="微软雅黑"/>
          <w:sz w:val="52"/>
          <w:szCs w:val="52"/>
        </w:rPr>
      </w:pPr>
    </w:p>
    <w:p>
      <w:pPr>
        <w:jc w:val="center"/>
        <w:outlineLvl w:val="0"/>
        <w:rPr>
          <w:rFonts w:ascii="方正小标宋简体" w:hAnsi="微软雅黑" w:eastAsia="方正小标宋简体" w:cs="微软雅黑"/>
          <w:sz w:val="52"/>
          <w:szCs w:val="52"/>
        </w:rPr>
      </w:pPr>
    </w:p>
    <w:p>
      <w:pPr>
        <w:jc w:val="center"/>
        <w:outlineLvl w:val="0"/>
        <w:rPr>
          <w:rFonts w:ascii="方正小标宋简体" w:hAnsi="微软雅黑" w:eastAsia="方正小标宋简体" w:cs="微软雅黑"/>
          <w:sz w:val="52"/>
          <w:szCs w:val="52"/>
        </w:rPr>
      </w:pPr>
    </w:p>
    <w:p>
      <w:pPr>
        <w:jc w:val="center"/>
        <w:outlineLvl w:val="0"/>
        <w:rPr>
          <w:rFonts w:ascii="方正小标宋简体" w:hAnsi="微软雅黑" w:eastAsia="方正小标宋简体" w:cs="微软雅黑"/>
          <w:sz w:val="52"/>
          <w:szCs w:val="52"/>
        </w:rPr>
      </w:pPr>
    </w:p>
    <w:p>
      <w:pPr>
        <w:jc w:val="center"/>
        <w:outlineLvl w:val="0"/>
        <w:rPr>
          <w:rFonts w:ascii="方正小标宋简体" w:hAnsi="微软雅黑" w:eastAsia="方正小标宋简体" w:cs="微软雅黑"/>
          <w:sz w:val="28"/>
          <w:szCs w:val="28"/>
        </w:rPr>
      </w:pPr>
      <w:bookmarkStart w:id="14" w:name="_Toc19729"/>
      <w:bookmarkStart w:id="15" w:name="_Toc28007"/>
      <w:bookmarkStart w:id="16" w:name="_Toc1820"/>
      <w:bookmarkStart w:id="17" w:name="_Toc18519"/>
      <w:r>
        <w:rPr>
          <w:rFonts w:hint="eastAsia" w:ascii="方正小标宋简体" w:hAnsi="微软雅黑" w:eastAsia="方正小标宋简体" w:cs="微软雅黑"/>
          <w:sz w:val="28"/>
          <w:szCs w:val="28"/>
        </w:rPr>
        <w:t>2023年7月</w:t>
      </w:r>
      <w:bookmarkEnd w:id="14"/>
      <w:bookmarkEnd w:id="15"/>
      <w:bookmarkEnd w:id="16"/>
      <w:bookmarkEnd w:id="17"/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/>
    <w:sdt>
      <w:sdtPr>
        <w:rPr>
          <w:rFonts w:ascii="宋体" w:hAnsi="宋体" w:eastAsia="宋体"/>
        </w:rPr>
        <w:id w:val="147462541"/>
        <w:docPartObj>
          <w:docPartGallery w:val="Table of Contents"/>
          <w:docPartUnique/>
        </w:docPartObj>
      </w:sdtPr>
      <w:sdtEndPr>
        <w:rPr>
          <w:rFonts w:hint="eastAsia" w:ascii="仿宋" w:hAnsi="仿宋" w:eastAsia="仿宋" w:cs="仿宋"/>
          <w:b/>
          <w:sz w:val="28"/>
          <w:szCs w:val="28"/>
        </w:rPr>
      </w:sdtEndPr>
      <w:sdtContent>
        <w:p>
          <w:pPr>
            <w:spacing w:line="360" w:lineRule="auto"/>
            <w:jc w:val="center"/>
            <w:rPr>
              <w:rFonts w:ascii="仿宋" w:hAnsi="仿宋" w:eastAsia="仿宋" w:cs="仿宋"/>
              <w:sz w:val="28"/>
              <w:szCs w:val="28"/>
            </w:rPr>
          </w:pPr>
          <w:r>
            <w:rPr>
              <w:rFonts w:hint="eastAsia" w:ascii="仿宋" w:hAnsi="仿宋" w:eastAsia="仿宋" w:cs="仿宋"/>
              <w:sz w:val="28"/>
              <w:szCs w:val="28"/>
            </w:rPr>
            <w:t>目 录</w:t>
          </w:r>
        </w:p>
        <w:p>
          <w:pPr>
            <w:pStyle w:val="2"/>
            <w:tabs>
              <w:tab w:val="right" w:leader="dot" w:pos="8306"/>
            </w:tabs>
          </w:pPr>
          <w:r>
            <w:rPr>
              <w:rFonts w:hint="eastAsia" w:ascii="仿宋" w:hAnsi="仿宋" w:eastAsia="仿宋" w:cs="仿宋"/>
              <w:b/>
              <w:bCs/>
              <w:sz w:val="28"/>
              <w:szCs w:val="28"/>
            </w:rPr>
            <w:fldChar w:fldCharType="begin"/>
          </w:r>
          <w:r>
            <w:rPr>
              <w:rFonts w:hint="eastAsia" w:ascii="仿宋" w:hAnsi="仿宋" w:eastAsia="仿宋" w:cs="仿宋"/>
              <w:b/>
              <w:bCs/>
              <w:sz w:val="28"/>
              <w:szCs w:val="28"/>
            </w:rPr>
            <w:instrText xml:space="preserve">TOC \o "1-2" \h \u </w:instrText>
          </w:r>
          <w:r>
            <w:rPr>
              <w:rFonts w:hint="eastAsia" w:ascii="仿宋" w:hAnsi="仿宋" w:eastAsia="仿宋" w:cs="仿宋"/>
              <w:b/>
              <w:bCs/>
              <w:sz w:val="28"/>
              <w:szCs w:val="28"/>
            </w:rPr>
            <w:fldChar w:fldCharType="separate"/>
          </w:r>
        </w:p>
        <w:p>
          <w:pPr>
            <w:pStyle w:val="7"/>
            <w:tabs>
              <w:tab w:val="right" w:leader="dot" w:pos="8306"/>
            </w:tabs>
            <w:rPr>
              <w:rFonts w:ascii="仿宋_GB2312" w:hAnsi="仿宋" w:eastAsia="仿宋_GB2312" w:cs="仿宋"/>
              <w:kern w:val="2"/>
              <w:sz w:val="28"/>
              <w:szCs w:val="28"/>
            </w:rPr>
          </w:pPr>
          <w:r>
            <w:fldChar w:fldCharType="begin"/>
          </w:r>
          <w:r>
            <w:instrText xml:space="preserve"> HYPERLINK \l "_Toc9240" </w:instrText>
          </w:r>
          <w:r>
            <w:fldChar w:fldCharType="separate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t>一、采购流程</w:t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tab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begin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instrText xml:space="preserve"> PAGEREF _Toc9240 \h </w:instrText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separate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t>3</w:t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end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rPr>
              <w:rFonts w:ascii="仿宋_GB2312" w:hAnsi="仿宋" w:eastAsia="仿宋_GB2312" w:cs="仿宋"/>
              <w:kern w:val="2"/>
              <w:sz w:val="28"/>
              <w:szCs w:val="28"/>
            </w:rPr>
          </w:pPr>
          <w:r>
            <w:fldChar w:fldCharType="begin"/>
          </w:r>
          <w:r>
            <w:instrText xml:space="preserve"> HYPERLINK \l "_Toc19841" </w:instrText>
          </w:r>
          <w:r>
            <w:fldChar w:fldCharType="separate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t>二、操作指南</w:t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tab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begin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instrText xml:space="preserve"> PAGEREF _Toc19841 \h </w:instrText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separate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t>4</w:t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end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ind w:firstLine="200" w:firstLineChars="100"/>
            <w:rPr>
              <w:rFonts w:ascii="仿宋_GB2312" w:hAnsi="仿宋" w:eastAsia="仿宋_GB2312" w:cs="仿宋"/>
              <w:kern w:val="2"/>
              <w:sz w:val="28"/>
              <w:szCs w:val="28"/>
            </w:rPr>
          </w:pPr>
          <w:r>
            <w:fldChar w:fldCharType="begin"/>
          </w:r>
          <w:r>
            <w:instrText xml:space="preserve"> HYPERLINK \l "_Toc7771" </w:instrText>
          </w:r>
          <w:r>
            <w:fldChar w:fldCharType="separate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t>1.用户登录</w:t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tab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begin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instrText xml:space="preserve"> PAGEREF _Toc7771 \h </w:instrText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separate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t>4</w:t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end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ind w:firstLine="200" w:firstLineChars="100"/>
            <w:rPr>
              <w:rFonts w:ascii="仿宋_GB2312" w:hAnsi="仿宋" w:eastAsia="仿宋_GB2312" w:cs="仿宋"/>
              <w:kern w:val="2"/>
              <w:sz w:val="28"/>
              <w:szCs w:val="28"/>
            </w:rPr>
          </w:pPr>
          <w:r>
            <w:fldChar w:fldCharType="begin"/>
          </w:r>
          <w:r>
            <w:instrText xml:space="preserve"> HYPERLINK \l "_Toc6651" </w:instrText>
          </w:r>
          <w:r>
            <w:fldChar w:fldCharType="separate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t>2.编制采购计划</w:t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tab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begin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instrText xml:space="preserve"> PAGEREF _Toc6651 \h </w:instrText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separate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t>6</w:t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end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ind w:firstLine="200" w:firstLineChars="100"/>
            <w:rPr>
              <w:rFonts w:ascii="仿宋_GB2312" w:hAnsi="仿宋" w:eastAsia="仿宋_GB2312" w:cs="仿宋"/>
              <w:kern w:val="2"/>
              <w:sz w:val="28"/>
              <w:szCs w:val="28"/>
            </w:rPr>
          </w:pPr>
          <w:r>
            <w:fldChar w:fldCharType="begin"/>
          </w:r>
          <w:r>
            <w:instrText xml:space="preserve"> HYPERLINK \l "_Toc7238" </w:instrText>
          </w:r>
          <w:r>
            <w:fldChar w:fldCharType="separate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t>3.发布项目</w:t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tab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begin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instrText xml:space="preserve"> PAGEREF _Toc7238 \h </w:instrText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separate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t>6</w:t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end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ind w:firstLine="200" w:firstLineChars="100"/>
            <w:rPr>
              <w:rFonts w:ascii="仿宋_GB2312" w:hAnsi="仿宋" w:eastAsia="仿宋_GB2312" w:cs="仿宋"/>
              <w:kern w:val="2"/>
              <w:sz w:val="28"/>
              <w:szCs w:val="28"/>
            </w:rPr>
          </w:pPr>
          <w:r>
            <w:fldChar w:fldCharType="begin"/>
          </w:r>
          <w:r>
            <w:instrText xml:space="preserve"> HYPERLINK \l "_Toc14033" </w:instrText>
          </w:r>
          <w:r>
            <w:fldChar w:fldCharType="separate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t>4.确认成交</w:t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tab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begin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instrText xml:space="preserve"> PAGEREF _Toc14033 \h </w:instrText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separate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t>14</w:t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end"/>
          </w:r>
          <w:r>
            <w:rPr>
              <w:rFonts w:hint="eastAsia" w:ascii="仿宋_GB2312" w:hAnsi="仿宋" w:eastAsia="仿宋_GB2312" w:cs="仿宋"/>
              <w:kern w:val="2"/>
              <w:sz w:val="28"/>
              <w:szCs w:val="28"/>
            </w:rPr>
            <w:fldChar w:fldCharType="end"/>
          </w:r>
        </w:p>
        <w:p>
          <w:pPr>
            <w:rPr>
              <w:rFonts w:ascii="仿宋" w:hAnsi="仿宋" w:eastAsia="仿宋" w:cs="仿宋"/>
              <w:sz w:val="28"/>
              <w:szCs w:val="28"/>
            </w:rPr>
          </w:pPr>
          <w:r>
            <w:rPr>
              <w:rFonts w:hint="eastAsia" w:ascii="仿宋" w:hAnsi="仿宋" w:eastAsia="仿宋" w:cs="仿宋"/>
              <w:bCs/>
              <w:szCs w:val="28"/>
            </w:rPr>
            <w:fldChar w:fldCharType="end"/>
          </w:r>
        </w:p>
      </w:sdtContent>
    </w:sdt>
    <w:p>
      <w:pPr>
        <w:rPr>
          <w:rFonts w:ascii="黑体" w:hAnsi="黑体" w:eastAsia="黑体" w:cs="黑体"/>
          <w:sz w:val="32"/>
          <w:szCs w:val="32"/>
        </w:rPr>
      </w:pPr>
      <w:bookmarkStart w:id="18" w:name="_Toc21164"/>
      <w:r>
        <w:rPr>
          <w:rFonts w:hint="eastAsia" w:ascii="黑体" w:hAnsi="黑体" w:eastAsia="黑体" w:cs="黑体"/>
          <w:sz w:val="32"/>
          <w:szCs w:val="32"/>
        </w:rPr>
        <w:br w:type="page"/>
      </w:r>
    </w:p>
    <w:p>
      <w:pPr>
        <w:pStyle w:val="6"/>
        <w:numPr>
          <w:ilvl w:val="0"/>
          <w:numId w:val="0"/>
        </w:numPr>
        <w:ind w:firstLine="562" w:firstLineChars="200"/>
        <w:rPr>
          <w:rFonts w:ascii="黑体" w:hAnsi="黑体" w:eastAsia="黑体" w:cs="黑体"/>
          <w:bCs/>
          <w:szCs w:val="28"/>
        </w:rPr>
      </w:pPr>
      <w:bookmarkStart w:id="19" w:name="_Toc9240"/>
      <w:r>
        <w:rPr>
          <w:rFonts w:hint="eastAsia" w:ascii="黑体" w:hAnsi="黑体" w:eastAsia="黑体" w:cs="黑体"/>
          <w:bCs/>
          <w:szCs w:val="28"/>
        </w:rPr>
        <w:t>一、采购流程</w:t>
      </w:r>
      <w:bookmarkEnd w:id="19"/>
    </w:p>
    <w:p>
      <w:pPr>
        <w:spacing w:line="580" w:lineRule="exact"/>
        <w:ind w:firstLine="562" w:firstLineChars="200"/>
        <w:jc w:val="left"/>
        <w:rPr>
          <w:rFonts w:ascii="仿宋_GB2312" w:hAnsi="仿宋" w:eastAsia="仿宋_GB2312" w:cs="仿宋"/>
          <w:sz w:val="28"/>
          <w:szCs w:val="28"/>
        </w:rPr>
      </w:pPr>
      <w:r>
        <w:rPr>
          <w:rFonts w:hint="eastAsia" w:ascii="仿宋_GB2312" w:hAnsi="仿宋" w:eastAsia="仿宋_GB2312" w:cs="仿宋"/>
          <w:b/>
          <w:bCs/>
          <w:sz w:val="28"/>
          <w:szCs w:val="28"/>
        </w:rPr>
        <w:t>1.编制采购计划。</w:t>
      </w:r>
      <w:r>
        <w:rPr>
          <w:rFonts w:hint="eastAsia" w:ascii="仿宋_GB2312" w:hAnsi="仿宋" w:eastAsia="仿宋_GB2312" w:cs="仿宋"/>
          <w:sz w:val="28"/>
          <w:szCs w:val="28"/>
        </w:rPr>
        <w:t>预算指标批复后，通过财政预算管理一体化系统中政府采购模块编制采购计划，采购方式选择框架协议二阶段。</w:t>
      </w:r>
    </w:p>
    <w:p>
      <w:pPr>
        <w:spacing w:line="580" w:lineRule="exact"/>
        <w:ind w:firstLine="562" w:firstLineChars="200"/>
        <w:jc w:val="left"/>
        <w:rPr>
          <w:rFonts w:ascii="仿宋_GB2312" w:hAnsi="仿宋" w:eastAsia="仿宋_GB2312" w:cs="仿宋"/>
          <w:sz w:val="28"/>
          <w:szCs w:val="28"/>
        </w:rPr>
      </w:pPr>
      <w:r>
        <w:rPr>
          <w:rFonts w:hint="eastAsia" w:ascii="仿宋_GB2312" w:hAnsi="仿宋" w:eastAsia="仿宋_GB2312" w:cs="仿宋"/>
          <w:b/>
          <w:bCs/>
          <w:sz w:val="28"/>
          <w:szCs w:val="28"/>
        </w:rPr>
        <w:t>2.采购人选择供应商。</w:t>
      </w:r>
      <w:r>
        <w:rPr>
          <w:rFonts w:hint="eastAsia" w:ascii="仿宋_GB2312" w:hAnsi="仿宋" w:eastAsia="仿宋_GB2312" w:cs="仿宋"/>
          <w:sz w:val="28"/>
          <w:szCs w:val="28"/>
        </w:rPr>
        <w:t>采购人登录网上商城，进入框架协议采购专区的入围服务库中查阅入围供应商信息，择优选定一家，录入采购需求。</w:t>
      </w:r>
    </w:p>
    <w:p>
      <w:pPr>
        <w:spacing w:line="580" w:lineRule="exact"/>
        <w:ind w:firstLine="562" w:firstLineChars="200"/>
        <w:jc w:val="left"/>
        <w:rPr>
          <w:rFonts w:ascii="仿宋_GB2312" w:hAnsi="仿宋" w:eastAsia="仿宋_GB2312" w:cs="仿宋"/>
          <w:spacing w:val="-7"/>
          <w:sz w:val="28"/>
          <w:szCs w:val="28"/>
        </w:rPr>
      </w:pPr>
      <w:r>
        <w:rPr>
          <w:rFonts w:hint="eastAsia" w:ascii="仿宋_GB2312" w:hAnsi="仿宋" w:eastAsia="仿宋_GB2312" w:cs="仿宋"/>
          <w:b/>
          <w:bCs/>
          <w:sz w:val="28"/>
          <w:szCs w:val="28"/>
        </w:rPr>
        <w:t>3.供应商报价。</w:t>
      </w:r>
      <w:r>
        <w:rPr>
          <w:rFonts w:hint="eastAsia" w:ascii="仿宋_GB2312" w:hAnsi="仿宋" w:eastAsia="仿宋_GB2312" w:cs="仿宋"/>
          <w:sz w:val="28"/>
          <w:szCs w:val="28"/>
        </w:rPr>
        <w:t>供应商</w:t>
      </w:r>
      <w:r>
        <w:rPr>
          <w:rFonts w:hint="eastAsia" w:ascii="仿宋_GB2312" w:hAnsi="仿宋" w:eastAsia="仿宋_GB2312" w:cs="仿宋"/>
          <w:spacing w:val="-7"/>
          <w:sz w:val="28"/>
          <w:szCs w:val="28"/>
        </w:rPr>
        <w:t>登录网上商城，进入框架协议采购专区，对采购人需求进行报价响应。</w:t>
      </w:r>
    </w:p>
    <w:p>
      <w:pPr>
        <w:spacing w:line="580" w:lineRule="exact"/>
        <w:ind w:firstLine="534" w:firstLineChars="200"/>
        <w:jc w:val="left"/>
        <w:rPr>
          <w:rFonts w:ascii="仿宋_GB2312" w:hAnsi="仿宋" w:eastAsia="仿宋_GB2312" w:cs="仿宋"/>
          <w:spacing w:val="-7"/>
          <w:sz w:val="28"/>
          <w:szCs w:val="28"/>
        </w:rPr>
      </w:pPr>
      <w:r>
        <w:rPr>
          <w:rFonts w:hint="eastAsia" w:ascii="仿宋_GB2312" w:hAnsi="仿宋" w:eastAsia="仿宋_GB2312" w:cs="仿宋"/>
          <w:b/>
          <w:spacing w:val="-7"/>
          <w:sz w:val="28"/>
          <w:szCs w:val="28"/>
        </w:rPr>
        <w:t>4.确定成交结果。</w:t>
      </w:r>
      <w:r>
        <w:rPr>
          <w:rFonts w:hint="eastAsia" w:ascii="仿宋_GB2312" w:hAnsi="仿宋" w:eastAsia="仿宋_GB2312" w:cs="仿宋"/>
          <w:spacing w:val="-7"/>
          <w:sz w:val="28"/>
          <w:szCs w:val="28"/>
        </w:rPr>
        <w:t>采购人确认供应商的报价信息无误后即成交，成交信息自动导入预算管理一体化系统。</w:t>
      </w:r>
    </w:p>
    <w:p>
      <w:pPr>
        <w:spacing w:line="580" w:lineRule="exact"/>
        <w:ind w:firstLine="562" w:firstLineChars="200"/>
        <w:jc w:val="left"/>
        <w:rPr>
          <w:rFonts w:ascii="仿宋" w:hAnsi="仿宋" w:eastAsia="仿宋_GB2312" w:cs="仿宋"/>
          <w:spacing w:val="-7"/>
          <w:sz w:val="32"/>
          <w:szCs w:val="32"/>
        </w:rPr>
      </w:pPr>
      <w:r>
        <w:rPr>
          <w:rFonts w:hint="eastAsia" w:ascii="仿宋_GB2312" w:hAnsi="仿宋" w:eastAsia="仿宋_GB2312" w:cs="仿宋"/>
          <w:b/>
          <w:bCs/>
          <w:sz w:val="28"/>
          <w:szCs w:val="28"/>
        </w:rPr>
        <w:t>5.生成采购凭证。</w:t>
      </w:r>
      <w:r>
        <w:rPr>
          <w:rFonts w:hint="eastAsia" w:ascii="仿宋_GB2312" w:hAnsi="仿宋" w:eastAsia="仿宋_GB2312" w:cs="仿宋"/>
          <w:spacing w:val="-7"/>
          <w:sz w:val="28"/>
          <w:szCs w:val="28"/>
        </w:rPr>
        <w:t>采购人登录预算管理一体化系统中生</w:t>
      </w:r>
      <w:r>
        <w:rPr>
          <w:rFonts w:hint="eastAsia" w:ascii="仿宋_GB2312" w:hAnsi="仿宋" w:eastAsia="仿宋_GB2312" w:cs="仿宋"/>
          <w:spacing w:val="-6"/>
          <w:sz w:val="28"/>
          <w:szCs w:val="28"/>
        </w:rPr>
        <w:t>成合同。</w:t>
      </w:r>
    </w:p>
    <w:p>
      <w:pPr>
        <w:pStyle w:val="6"/>
        <w:numPr>
          <w:ilvl w:val="0"/>
          <w:numId w:val="0"/>
        </w:numPr>
        <w:rPr>
          <w:rFonts w:ascii="黑体" w:hAnsi="黑体" w:eastAsia="黑体" w:cs="黑体"/>
          <w:sz w:val="32"/>
          <w:szCs w:val="32"/>
        </w:rPr>
      </w:pPr>
    </w:p>
    <w:p>
      <w:pPr>
        <w:pStyle w:val="6"/>
        <w:numPr>
          <w:ilvl w:val="0"/>
          <w:numId w:val="0"/>
        </w:numPr>
        <w:rPr>
          <w:rFonts w:ascii="黑体" w:hAnsi="黑体" w:eastAsia="黑体" w:cs="黑体"/>
          <w:sz w:val="32"/>
          <w:szCs w:val="32"/>
        </w:rPr>
      </w:pPr>
    </w:p>
    <w:p>
      <w:pPr>
        <w:pStyle w:val="6"/>
        <w:numPr>
          <w:ilvl w:val="0"/>
          <w:numId w:val="0"/>
        </w:numPr>
        <w:rPr>
          <w:rFonts w:ascii="黑体" w:hAnsi="黑体" w:eastAsia="黑体" w:cs="黑体"/>
          <w:sz w:val="32"/>
          <w:szCs w:val="32"/>
        </w:rPr>
      </w:pPr>
    </w:p>
    <w:p>
      <w:pPr>
        <w:pStyle w:val="6"/>
        <w:numPr>
          <w:ilvl w:val="0"/>
          <w:numId w:val="0"/>
        </w:numPr>
        <w:rPr>
          <w:rFonts w:ascii="黑体" w:hAnsi="黑体" w:eastAsia="黑体" w:cs="黑体"/>
          <w:sz w:val="32"/>
          <w:szCs w:val="32"/>
        </w:rPr>
      </w:pPr>
    </w:p>
    <w:p>
      <w:pPr>
        <w:pStyle w:val="6"/>
        <w:numPr>
          <w:ilvl w:val="0"/>
          <w:numId w:val="0"/>
        </w:numPr>
        <w:rPr>
          <w:rFonts w:ascii="黑体" w:hAnsi="黑体" w:eastAsia="黑体" w:cs="黑体"/>
          <w:sz w:val="32"/>
          <w:szCs w:val="32"/>
        </w:rPr>
      </w:pPr>
    </w:p>
    <w:p>
      <w:pPr>
        <w:pStyle w:val="6"/>
        <w:numPr>
          <w:ilvl w:val="0"/>
          <w:numId w:val="0"/>
        </w:numPr>
        <w:rPr>
          <w:rFonts w:ascii="黑体" w:hAnsi="黑体" w:eastAsia="黑体" w:cs="黑体"/>
          <w:sz w:val="32"/>
          <w:szCs w:val="32"/>
        </w:rPr>
      </w:pPr>
    </w:p>
    <w:p>
      <w:pPr>
        <w:rPr>
          <w:rFonts w:ascii="黑体" w:hAnsi="黑体" w:eastAsia="黑体" w:cs="黑体"/>
          <w:szCs w:val="28"/>
        </w:rPr>
      </w:pPr>
      <w:bookmarkStart w:id="20" w:name="_Toc19841"/>
      <w:r>
        <w:rPr>
          <w:rFonts w:hint="eastAsia" w:ascii="黑体" w:hAnsi="黑体" w:eastAsia="黑体" w:cs="黑体"/>
          <w:szCs w:val="28"/>
        </w:rPr>
        <w:br w:type="page"/>
      </w:r>
    </w:p>
    <w:p>
      <w:pPr>
        <w:pStyle w:val="6"/>
        <w:numPr>
          <w:ilvl w:val="0"/>
          <w:numId w:val="0"/>
        </w:numPr>
        <w:ind w:firstLine="281" w:firstLineChars="100"/>
        <w:rPr>
          <w:rFonts w:ascii="黑体" w:hAnsi="黑体" w:eastAsia="黑体" w:cs="黑体"/>
          <w:szCs w:val="28"/>
        </w:rPr>
      </w:pPr>
      <w:r>
        <w:rPr>
          <w:rFonts w:hint="eastAsia" w:ascii="黑体" w:hAnsi="黑体" w:eastAsia="黑体" w:cs="黑体"/>
          <w:szCs w:val="28"/>
        </w:rPr>
        <w:t>二、操作指南</w:t>
      </w:r>
      <w:bookmarkEnd w:id="20"/>
    </w:p>
    <w:p>
      <w:pPr>
        <w:pStyle w:val="6"/>
        <w:numPr>
          <w:ilvl w:val="0"/>
          <w:numId w:val="0"/>
        </w:numPr>
        <w:ind w:firstLine="562" w:firstLineChars="200"/>
        <w:rPr>
          <w:rFonts w:ascii="仿宋_GB2312" w:hAnsi="仿宋" w:eastAsia="仿宋_GB2312" w:cs="仿宋"/>
          <w:bCs/>
          <w:szCs w:val="28"/>
        </w:rPr>
      </w:pPr>
      <w:bookmarkStart w:id="21" w:name="_Toc7771"/>
      <w:r>
        <w:rPr>
          <w:rFonts w:hint="eastAsia" w:ascii="仿宋_GB2312" w:hAnsi="仿宋" w:eastAsia="仿宋_GB2312" w:cs="仿宋"/>
          <w:bCs/>
          <w:szCs w:val="28"/>
        </w:rPr>
        <w:t>1.用户登录</w:t>
      </w:r>
      <w:bookmarkEnd w:id="18"/>
      <w:bookmarkEnd w:id="21"/>
    </w:p>
    <w:p>
      <w:pPr>
        <w:spacing w:line="580" w:lineRule="exact"/>
        <w:ind w:firstLine="532" w:firstLineChars="200"/>
        <w:jc w:val="left"/>
        <w:rPr>
          <w:rFonts w:hint="eastAsia" w:ascii="仿宋_GB2312" w:hAnsi="仿宋" w:eastAsia="仿宋_GB2312" w:cs="仿宋"/>
          <w:spacing w:val="-7"/>
          <w:sz w:val="28"/>
          <w:szCs w:val="28"/>
        </w:rPr>
      </w:pPr>
      <w:r>
        <w:rPr>
          <w:rFonts w:hint="eastAsia" w:ascii="仿宋_GB2312" w:hAnsi="仿宋" w:eastAsia="仿宋_GB2312" w:cs="仿宋"/>
          <w:spacing w:val="-7"/>
          <w:sz w:val="28"/>
          <w:szCs w:val="28"/>
        </w:rPr>
        <w:t>输入网址http://www.ccgp-shandong.gov.cn进入山东政府采购网，点击右边【网上商城】栏目，或直接输入http://ggzyjyzx.shandong.gov.cn/wssc/sdszfcg/进入网上商城。</w:t>
      </w:r>
    </w:p>
    <w:p>
      <w:r>
        <w:drawing>
          <wp:inline distT="0" distB="0" distL="114300" distR="114300">
            <wp:extent cx="5445760" cy="3937000"/>
            <wp:effectExtent l="0" t="0" r="2540" b="635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5760" cy="393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580" w:lineRule="exact"/>
        <w:ind w:firstLine="532" w:firstLineChars="200"/>
        <w:jc w:val="left"/>
        <w:rPr>
          <w:rFonts w:ascii="仿宋_GB2312" w:hAnsi="仿宋" w:eastAsia="仿宋_GB2312" w:cs="仿宋"/>
          <w:spacing w:val="-7"/>
          <w:sz w:val="28"/>
          <w:szCs w:val="28"/>
        </w:rPr>
      </w:pPr>
      <w:r>
        <w:rPr>
          <w:rFonts w:hint="eastAsia" w:ascii="仿宋_GB2312" w:hAnsi="仿宋" w:eastAsia="仿宋_GB2312" w:cs="仿宋"/>
          <w:spacing w:val="-7"/>
          <w:sz w:val="28"/>
          <w:szCs w:val="28"/>
        </w:rPr>
        <w:t>进入商城首页后，登录时选择采购人角色和对应的地区，输入用户名和密码，输入验证码后点击【登录】，进入系统。</w:t>
      </w:r>
    </w:p>
    <w:p>
      <w:pPr>
        <w:ind w:firstLine="480"/>
      </w:pPr>
    </w:p>
    <w:p>
      <w:r>
        <w:drawing>
          <wp:inline distT="0" distB="0" distL="0" distR="0">
            <wp:extent cx="5274310" cy="3383280"/>
            <wp:effectExtent l="0" t="0" r="2540" b="7620"/>
            <wp:docPr id="82652610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526106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sz w:val="24"/>
        </w:rPr>
      </w:pPr>
      <w:r>
        <w:drawing>
          <wp:inline distT="0" distB="0" distL="0" distR="0">
            <wp:extent cx="5274310" cy="3388360"/>
            <wp:effectExtent l="0" t="0" r="2540" b="2540"/>
            <wp:docPr id="14008132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81325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8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580" w:lineRule="exact"/>
        <w:ind w:firstLine="532" w:firstLineChars="200"/>
        <w:jc w:val="left"/>
        <w:rPr>
          <w:rFonts w:ascii="仿宋_GB2312" w:hAnsi="仿宋" w:eastAsia="仿宋_GB2312" w:cs="仿宋"/>
          <w:spacing w:val="-7"/>
          <w:sz w:val="28"/>
          <w:szCs w:val="28"/>
        </w:rPr>
      </w:pPr>
      <w:r>
        <w:rPr>
          <w:rFonts w:hint="eastAsia" w:ascii="仿宋_GB2312" w:hAnsi="仿宋" w:eastAsia="仿宋_GB2312" w:cs="仿宋"/>
          <w:spacing w:val="-7"/>
          <w:sz w:val="28"/>
          <w:szCs w:val="28"/>
        </w:rPr>
        <w:t>登录商城后，点击导航栏的【框架协议采购】，可进入框架协议采购专区。</w:t>
      </w:r>
    </w:p>
    <w:p>
      <w:pPr>
        <w:jc w:val="left"/>
      </w:pPr>
      <w:r>
        <w:drawing>
          <wp:inline distT="0" distB="0" distL="0" distR="0">
            <wp:extent cx="5274310" cy="2834640"/>
            <wp:effectExtent l="0" t="0" r="2540" b="3810"/>
            <wp:docPr id="16514504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45048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580" w:lineRule="exact"/>
        <w:ind w:firstLine="532" w:firstLineChars="200"/>
        <w:jc w:val="left"/>
        <w:rPr>
          <w:rFonts w:ascii="仿宋_GB2312" w:hAnsi="仿宋" w:eastAsia="仿宋_GB2312" w:cs="仿宋"/>
          <w:spacing w:val="-7"/>
          <w:sz w:val="28"/>
          <w:szCs w:val="28"/>
        </w:rPr>
      </w:pPr>
      <w:r>
        <w:rPr>
          <w:rFonts w:hint="eastAsia" w:ascii="仿宋_GB2312" w:hAnsi="仿宋" w:eastAsia="仿宋_GB2312" w:cs="仿宋"/>
          <w:spacing w:val="-7"/>
          <w:sz w:val="28"/>
          <w:szCs w:val="28"/>
        </w:rPr>
        <w:t>点击【框架协议采购】，可跳转至框架协议专区后台界面。</w:t>
      </w:r>
    </w:p>
    <w:p>
      <w:pPr>
        <w:jc w:val="left"/>
      </w:pPr>
      <w:r>
        <w:drawing>
          <wp:inline distT="0" distB="0" distL="114300" distR="114300">
            <wp:extent cx="5356860" cy="2758440"/>
            <wp:effectExtent l="0" t="0" r="0" b="381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65826" cy="2763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0"/>
        </w:numPr>
        <w:ind w:firstLine="562" w:firstLineChars="200"/>
        <w:rPr>
          <w:rFonts w:ascii="仿宋_GB2312" w:hAnsi="仿宋" w:eastAsia="仿宋_GB2312" w:cs="仿宋"/>
          <w:bCs/>
          <w:szCs w:val="28"/>
        </w:rPr>
      </w:pPr>
      <w:bookmarkStart w:id="22" w:name="_Toc25581"/>
      <w:bookmarkStart w:id="23" w:name="_Toc6651"/>
      <w:r>
        <w:rPr>
          <w:rFonts w:hint="eastAsia" w:ascii="仿宋_GB2312" w:hAnsi="仿宋" w:eastAsia="仿宋_GB2312" w:cs="仿宋"/>
          <w:bCs/>
          <w:szCs w:val="28"/>
        </w:rPr>
        <w:t>2.</w:t>
      </w:r>
      <w:bookmarkEnd w:id="22"/>
      <w:r>
        <w:rPr>
          <w:rFonts w:hint="eastAsia" w:ascii="仿宋_GB2312" w:hAnsi="仿宋" w:eastAsia="仿宋_GB2312" w:cs="仿宋"/>
          <w:bCs/>
          <w:szCs w:val="28"/>
        </w:rPr>
        <w:t>编制采购计划</w:t>
      </w:r>
      <w:bookmarkEnd w:id="23"/>
    </w:p>
    <w:p>
      <w:pPr>
        <w:ind w:firstLine="532" w:firstLineChars="200"/>
        <w:rPr>
          <w:rFonts w:ascii="仿宋_GB2312" w:hAnsi="仿宋" w:eastAsia="仿宋_GB2312" w:cs="仿宋"/>
          <w:spacing w:val="-7"/>
          <w:sz w:val="28"/>
          <w:szCs w:val="28"/>
        </w:rPr>
      </w:pPr>
      <w:r>
        <w:rPr>
          <w:rFonts w:hint="eastAsia" w:ascii="仿宋_GB2312" w:hAnsi="仿宋" w:eastAsia="仿宋_GB2312" w:cs="仿宋"/>
          <w:spacing w:val="-7"/>
          <w:sz w:val="28"/>
          <w:szCs w:val="28"/>
        </w:rPr>
        <w:t>采购人通过预算管理一体化系统的政府采购模块中编制采购计划，采购方式选择</w:t>
      </w:r>
      <w:r>
        <w:rPr>
          <w:rFonts w:hint="eastAsia" w:ascii="仿宋_GB2312" w:hAnsi="仿宋" w:eastAsia="仿宋_GB2312" w:cs="仿宋"/>
          <w:b/>
          <w:bCs/>
          <w:spacing w:val="-7"/>
          <w:sz w:val="28"/>
          <w:szCs w:val="28"/>
        </w:rPr>
        <w:t>框架协议二阶段</w:t>
      </w:r>
      <w:r>
        <w:rPr>
          <w:rFonts w:hint="eastAsia" w:ascii="仿宋_GB2312" w:hAnsi="仿宋" w:eastAsia="仿宋_GB2312" w:cs="仿宋"/>
          <w:spacing w:val="-7"/>
          <w:sz w:val="28"/>
          <w:szCs w:val="28"/>
        </w:rPr>
        <w:t>采购。采购计划生成后自动导入网上商城，采购人可在框采专区后台左侧列表中【计划管理】-【我的计划】中查找。</w:t>
      </w:r>
    </w:p>
    <w:p>
      <w:pPr>
        <w:jc w:val="left"/>
        <w:rPr>
          <w:rFonts w:ascii="仿宋_GB2312" w:hAnsi="仿宋" w:eastAsia="仿宋_GB2312" w:cs="仿宋"/>
          <w:bCs/>
          <w:szCs w:val="28"/>
        </w:rPr>
      </w:pPr>
      <w:r>
        <w:rPr>
          <w:sz w:val="24"/>
        </w:rPr>
        <w:drawing>
          <wp:inline distT="0" distB="0" distL="114300" distR="114300">
            <wp:extent cx="5267960" cy="2552700"/>
            <wp:effectExtent l="0" t="0" r="2540" b="3175"/>
            <wp:docPr id="2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0"/>
        </w:numPr>
        <w:ind w:firstLine="562" w:firstLineChars="200"/>
        <w:rPr>
          <w:rFonts w:ascii="仿宋_GB2312" w:hAnsi="仿宋" w:eastAsia="仿宋_GB2312" w:cs="仿宋"/>
          <w:bCs/>
          <w:szCs w:val="28"/>
        </w:rPr>
      </w:pPr>
      <w:bookmarkStart w:id="24" w:name="_Toc7238"/>
      <w:r>
        <w:rPr>
          <w:rFonts w:hint="eastAsia" w:ascii="仿宋_GB2312" w:hAnsi="仿宋" w:eastAsia="仿宋_GB2312" w:cs="仿宋"/>
          <w:bCs/>
          <w:szCs w:val="28"/>
        </w:rPr>
        <w:t>3.发布项目</w:t>
      </w:r>
      <w:bookmarkEnd w:id="24"/>
    </w:p>
    <w:p>
      <w:pPr>
        <w:ind w:firstLine="532" w:firstLineChars="200"/>
        <w:jc w:val="left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_GB2312" w:hAnsi="仿宋" w:eastAsia="仿宋_GB2312" w:cs="仿宋"/>
          <w:spacing w:val="-7"/>
          <w:sz w:val="28"/>
          <w:szCs w:val="28"/>
        </w:rPr>
        <w:t>采购人点击【框采首页】，可进入框采专区首页，点击框采专区首页导航栏的【入围服务库】，选择【物业管理服务】。</w:t>
      </w:r>
    </w:p>
    <w:p>
      <w:r>
        <w:drawing>
          <wp:inline distT="0" distB="0" distL="114300" distR="114300">
            <wp:extent cx="5266690" cy="1281430"/>
            <wp:effectExtent l="0" t="0" r="3810" b="444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28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2555875"/>
            <wp:effectExtent l="0" t="0" r="2540" b="0"/>
            <wp:docPr id="19375378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537823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32" w:firstLineChars="200"/>
        <w:jc w:val="left"/>
        <w:rPr>
          <w:rFonts w:ascii="仿宋_GB2312" w:hAnsi="仿宋" w:eastAsia="仿宋_GB2312" w:cs="仿宋"/>
          <w:spacing w:val="-7"/>
          <w:sz w:val="28"/>
          <w:szCs w:val="28"/>
        </w:rPr>
      </w:pPr>
      <w:r>
        <w:rPr>
          <w:rFonts w:hint="eastAsia" w:ascii="仿宋_GB2312" w:hAnsi="仿宋" w:eastAsia="仿宋_GB2312" w:cs="仿宋"/>
          <w:spacing w:val="-7"/>
          <w:sz w:val="28"/>
          <w:szCs w:val="28"/>
        </w:rPr>
        <w:t>选择采购品目后，页面会显示该品目所有框架协议入围供应商，点击【是否我可购买】，筛选当前采购人可以采购的入围供应商。</w:t>
      </w:r>
    </w:p>
    <w:p>
      <w:pPr>
        <w:jc w:val="left"/>
        <w:rPr>
          <w:rFonts w:ascii="仿宋" w:hAnsi="仿宋" w:eastAsia="仿宋" w:cs="仿宋"/>
          <w:sz w:val="28"/>
          <w:szCs w:val="28"/>
        </w:rPr>
      </w:pPr>
      <w:r>
        <w:drawing>
          <wp:inline distT="0" distB="0" distL="0" distR="0">
            <wp:extent cx="5274310" cy="2555875"/>
            <wp:effectExtent l="0" t="0" r="2540" b="0"/>
            <wp:docPr id="18049980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998012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32" w:firstLineChars="200"/>
        <w:jc w:val="left"/>
        <w:rPr>
          <w:rFonts w:ascii="仿宋_GB2312" w:hAnsi="仿宋" w:eastAsia="仿宋_GB2312" w:cs="仿宋"/>
          <w:spacing w:val="-7"/>
          <w:sz w:val="28"/>
          <w:szCs w:val="28"/>
        </w:rPr>
      </w:pPr>
      <w:r>
        <w:rPr>
          <w:rFonts w:hint="eastAsia" w:ascii="仿宋_GB2312" w:hAnsi="仿宋" w:eastAsia="仿宋_GB2312" w:cs="仿宋"/>
          <w:spacing w:val="-7"/>
          <w:sz w:val="28"/>
          <w:szCs w:val="28"/>
        </w:rPr>
        <w:t>采购人点击供应商名片，进入供应商详情页，在可选协议中，查看供应商所有框采入围协议，选中适用采购人的协议。</w:t>
      </w:r>
    </w:p>
    <w:p>
      <w:pPr>
        <w:jc w:val="left"/>
        <w:rPr>
          <w:rFonts w:ascii="仿宋" w:hAnsi="仿宋" w:eastAsia="仿宋" w:cs="仿宋"/>
          <w:sz w:val="28"/>
          <w:szCs w:val="28"/>
        </w:rPr>
      </w:pPr>
      <w:r>
        <w:drawing>
          <wp:inline distT="0" distB="0" distL="0" distR="0">
            <wp:extent cx="5274310" cy="2555875"/>
            <wp:effectExtent l="0" t="0" r="2540" b="0"/>
            <wp:docPr id="15472128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212829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32" w:firstLineChars="200"/>
        <w:jc w:val="left"/>
        <w:rPr>
          <w:rFonts w:ascii="仿宋_GB2312" w:hAnsi="仿宋" w:eastAsia="仿宋_GB2312" w:cs="仿宋"/>
          <w:spacing w:val="-7"/>
          <w:sz w:val="28"/>
          <w:szCs w:val="28"/>
        </w:rPr>
      </w:pPr>
      <w:r>
        <w:rPr>
          <w:rFonts w:hint="eastAsia" w:ascii="仿宋_GB2312" w:hAnsi="仿宋" w:eastAsia="仿宋_GB2312" w:cs="仿宋"/>
          <w:spacing w:val="-7"/>
          <w:sz w:val="28"/>
          <w:szCs w:val="28"/>
        </w:rPr>
        <w:t>【服务规格】展示供应商服务内容及报价详情，【服务介绍】展示公司介绍、服务承诺、资质资格等信息，【服务区域】展示供应商的经营地址，【成交记录】展示历史最低成交价格、历史平均成交价格以及近三个月的最低成交价格和平均成交价格。</w:t>
      </w:r>
    </w:p>
    <w:p>
      <w:pPr>
        <w:jc w:val="left"/>
        <w:rPr>
          <w:rFonts w:ascii="仿宋" w:hAnsi="仿宋" w:eastAsia="仿宋" w:cs="仿宋"/>
          <w:sz w:val="28"/>
          <w:szCs w:val="28"/>
        </w:rPr>
      </w:pPr>
      <w:r>
        <w:drawing>
          <wp:inline distT="0" distB="0" distL="0" distR="0">
            <wp:extent cx="5274310" cy="2555875"/>
            <wp:effectExtent l="0" t="0" r="2540" b="0"/>
            <wp:docPr id="16662897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289772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32" w:firstLineChars="200"/>
        <w:jc w:val="left"/>
        <w:rPr>
          <w:rFonts w:ascii="仿宋_GB2312" w:hAnsi="仿宋" w:eastAsia="仿宋_GB2312" w:cs="仿宋"/>
          <w:spacing w:val="-7"/>
          <w:sz w:val="28"/>
          <w:szCs w:val="28"/>
        </w:rPr>
      </w:pPr>
      <w:r>
        <w:rPr>
          <w:rFonts w:hint="eastAsia" w:ascii="仿宋_GB2312" w:hAnsi="仿宋" w:eastAsia="仿宋_GB2312" w:cs="仿宋"/>
          <w:spacing w:val="-7"/>
          <w:sz w:val="28"/>
          <w:szCs w:val="28"/>
        </w:rPr>
        <w:t>采购人点击【直接选定】，进入框采二阶段新建项目界面。</w:t>
      </w:r>
    </w:p>
    <w:p>
      <w:pPr>
        <w:jc w:val="left"/>
        <w:rPr>
          <w:rFonts w:ascii="仿宋" w:hAnsi="仿宋" w:eastAsia="仿宋" w:cs="仿宋"/>
          <w:sz w:val="28"/>
          <w:szCs w:val="28"/>
        </w:rPr>
      </w:pPr>
      <w:r>
        <w:drawing>
          <wp:inline distT="0" distB="0" distL="0" distR="0">
            <wp:extent cx="5274310" cy="2555875"/>
            <wp:effectExtent l="0" t="0" r="2540" b="0"/>
            <wp:docPr id="19877409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740923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32" w:firstLineChars="200"/>
        <w:jc w:val="left"/>
        <w:rPr>
          <w:rFonts w:ascii="仿宋_GB2312" w:hAnsi="仿宋" w:eastAsia="仿宋_GB2312" w:cs="仿宋"/>
          <w:spacing w:val="-7"/>
          <w:sz w:val="28"/>
          <w:szCs w:val="28"/>
        </w:rPr>
      </w:pPr>
      <w:r>
        <w:rPr>
          <w:rFonts w:hint="eastAsia" w:ascii="仿宋_GB2312" w:hAnsi="仿宋" w:eastAsia="仿宋_GB2312" w:cs="仿宋"/>
          <w:spacing w:val="-7"/>
          <w:sz w:val="28"/>
          <w:szCs w:val="28"/>
        </w:rPr>
        <w:t>采购人在新建项目界面录入本次采购需求信息，其中，项目基本信息中的【服务地址】可在【个人信息】中进行修改或新增。</w:t>
      </w:r>
    </w:p>
    <w:p>
      <w:pPr>
        <w:jc w:val="left"/>
        <w:rPr>
          <w:rFonts w:ascii="仿宋" w:hAnsi="仿宋" w:eastAsia="仿宋" w:cs="仿宋"/>
          <w:sz w:val="28"/>
          <w:szCs w:val="28"/>
        </w:rPr>
      </w:pPr>
      <w:r>
        <w:drawing>
          <wp:inline distT="0" distB="0" distL="0" distR="0">
            <wp:extent cx="5274310" cy="2555875"/>
            <wp:effectExtent l="0" t="0" r="2540" b="0"/>
            <wp:docPr id="20502672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267239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32" w:firstLineChars="200"/>
        <w:jc w:val="left"/>
        <w:rPr>
          <w:rFonts w:ascii="仿宋_GB2312" w:hAnsi="仿宋" w:eastAsia="仿宋_GB2312" w:cs="仿宋"/>
          <w:spacing w:val="-7"/>
          <w:sz w:val="28"/>
          <w:szCs w:val="28"/>
        </w:rPr>
      </w:pPr>
      <w:r>
        <w:rPr>
          <w:rFonts w:hint="eastAsia" w:ascii="仿宋_GB2312" w:hAnsi="仿宋" w:eastAsia="仿宋_GB2312" w:cs="仿宋"/>
          <w:spacing w:val="-7"/>
          <w:sz w:val="28"/>
          <w:szCs w:val="28"/>
        </w:rPr>
        <w:t>点击【选择计划】，计划列表中显示该品目预算管理一体化系统导入的采购计划，选择本项目适用的采购计划。</w:t>
      </w:r>
    </w:p>
    <w:p>
      <w:pPr>
        <w:jc w:val="left"/>
        <w:rPr>
          <w:rFonts w:ascii="仿宋" w:hAnsi="仿宋" w:eastAsia="仿宋" w:cs="仿宋"/>
          <w:sz w:val="28"/>
          <w:szCs w:val="28"/>
        </w:rPr>
      </w:pPr>
      <w:r>
        <w:drawing>
          <wp:inline distT="0" distB="0" distL="0" distR="0">
            <wp:extent cx="5274310" cy="2555875"/>
            <wp:effectExtent l="0" t="0" r="2540" b="0"/>
            <wp:docPr id="17704864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486489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32" w:firstLineChars="200"/>
        <w:jc w:val="left"/>
        <w:rPr>
          <w:rFonts w:hint="eastAsia" w:ascii="仿宋_GB2312" w:hAnsi="仿宋" w:eastAsia="仿宋_GB2312" w:cs="仿宋"/>
          <w:spacing w:val="-7"/>
          <w:sz w:val="28"/>
          <w:szCs w:val="28"/>
        </w:rPr>
      </w:pPr>
      <w:r>
        <w:rPr>
          <w:rFonts w:hint="eastAsia" w:ascii="仿宋_GB2312" w:hAnsi="仿宋" w:eastAsia="仿宋_GB2312" w:cs="仿宋"/>
          <w:spacing w:val="-7"/>
          <w:sz w:val="28"/>
          <w:szCs w:val="28"/>
        </w:rPr>
        <w:t>支付方式可选择【一次性支付】、【分期付款】或【公务卡支付】，并录入具体支付要求。</w:t>
      </w:r>
    </w:p>
    <w:p>
      <w:pPr>
        <w:ind w:firstLine="532" w:firstLineChars="200"/>
        <w:jc w:val="left"/>
        <w:rPr>
          <w:rFonts w:ascii="仿宋_GB2312" w:hAnsi="仿宋" w:eastAsia="仿宋_GB2312" w:cs="仿宋"/>
          <w:spacing w:val="-7"/>
          <w:sz w:val="28"/>
          <w:szCs w:val="28"/>
        </w:rPr>
      </w:pPr>
      <w:r>
        <w:rPr>
          <w:rFonts w:hint="eastAsia" w:ascii="仿宋_GB2312" w:hAnsi="仿宋" w:eastAsia="仿宋_GB2312" w:cs="仿宋"/>
          <w:spacing w:val="-7"/>
          <w:sz w:val="28"/>
          <w:szCs w:val="28"/>
        </w:rPr>
        <w:t>在采购需求环节，点击【添加需求明细】，选择本次需要采购的服务分项。</w:t>
      </w:r>
    </w:p>
    <w:p>
      <w:r>
        <w:drawing>
          <wp:inline distT="0" distB="0" distL="0" distR="0">
            <wp:extent cx="5274310" cy="2555875"/>
            <wp:effectExtent l="0" t="0" r="2540" b="0"/>
            <wp:docPr id="5559151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915176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32" w:firstLineChars="200"/>
        <w:jc w:val="left"/>
        <w:rPr>
          <w:rFonts w:ascii="仿宋_GB2312" w:hAnsi="仿宋" w:eastAsia="仿宋_GB2312" w:cs="仿宋"/>
          <w:spacing w:val="-7"/>
          <w:sz w:val="28"/>
          <w:szCs w:val="28"/>
        </w:rPr>
      </w:pPr>
      <w:r>
        <w:rPr>
          <w:rFonts w:hint="eastAsia" w:ascii="仿宋_GB2312" w:hAnsi="仿宋" w:eastAsia="仿宋_GB2312" w:cs="仿宋"/>
          <w:spacing w:val="-7"/>
          <w:sz w:val="28"/>
          <w:szCs w:val="28"/>
        </w:rPr>
        <w:t>选择完服务分项后，点击【确定】。</w:t>
      </w:r>
    </w:p>
    <w:p>
      <w:pPr>
        <w:jc w:val="left"/>
      </w:pPr>
      <w:r>
        <w:drawing>
          <wp:inline distT="0" distB="0" distL="0" distR="0">
            <wp:extent cx="5274310" cy="2555875"/>
            <wp:effectExtent l="0" t="0" r="2540" b="0"/>
            <wp:docPr id="7205208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520868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32" w:firstLineChars="200"/>
        <w:jc w:val="left"/>
      </w:pPr>
      <w:r>
        <w:rPr>
          <w:rFonts w:hint="eastAsia" w:ascii="仿宋_GB2312" w:hAnsi="仿宋" w:eastAsia="仿宋_GB2312" w:cs="仿宋"/>
          <w:spacing w:val="-7"/>
          <w:sz w:val="28"/>
          <w:szCs w:val="28"/>
        </w:rPr>
        <w:t>控制单价会自动带入协议入围价格，采购人可修改，若控制价低于协议入围价格，供应商报价时，不能超过控制价，若控制价高于协议入围价格，供应商报价时，不能超过协议入围价格。</w:t>
      </w:r>
    </w:p>
    <w:p>
      <w:pPr>
        <w:jc w:val="left"/>
      </w:pPr>
      <w:r>
        <w:drawing>
          <wp:inline distT="0" distB="0" distL="0" distR="0">
            <wp:extent cx="5274310" cy="2555875"/>
            <wp:effectExtent l="0" t="0" r="2540" b="0"/>
            <wp:docPr id="5690784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078435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32" w:firstLineChars="200"/>
        <w:jc w:val="left"/>
        <w:rPr>
          <w:rFonts w:ascii="仿宋_GB2312" w:hAnsi="仿宋" w:eastAsia="仿宋_GB2312" w:cs="仿宋"/>
          <w:spacing w:val="-7"/>
          <w:sz w:val="28"/>
          <w:szCs w:val="28"/>
        </w:rPr>
      </w:pPr>
      <w:r>
        <w:rPr>
          <w:rFonts w:hint="eastAsia" w:ascii="仿宋_GB2312" w:hAnsi="仿宋" w:eastAsia="仿宋_GB2312" w:cs="仿宋"/>
          <w:spacing w:val="-7"/>
          <w:sz w:val="28"/>
          <w:szCs w:val="28"/>
        </w:rPr>
        <w:t>数量需输入每个分项采购的数量，数量说明为非必填项。</w:t>
      </w:r>
    </w:p>
    <w:p>
      <w:pPr>
        <w:jc w:val="left"/>
      </w:pPr>
      <w:r>
        <w:drawing>
          <wp:inline distT="0" distB="0" distL="0" distR="0">
            <wp:extent cx="5274310" cy="2555875"/>
            <wp:effectExtent l="0" t="0" r="2540" b="0"/>
            <wp:docPr id="13590001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000198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32" w:firstLineChars="200"/>
        <w:jc w:val="left"/>
        <w:rPr>
          <w:rFonts w:ascii="仿宋_GB2312" w:hAnsi="仿宋" w:eastAsia="仿宋_GB2312" w:cs="仿宋"/>
          <w:spacing w:val="-7"/>
          <w:sz w:val="28"/>
          <w:szCs w:val="28"/>
        </w:rPr>
      </w:pPr>
      <w:r>
        <w:rPr>
          <w:rFonts w:hint="eastAsia" w:ascii="仿宋_GB2312" w:hAnsi="仿宋" w:eastAsia="仿宋_GB2312" w:cs="仿宋"/>
          <w:spacing w:val="-7"/>
          <w:sz w:val="28"/>
          <w:szCs w:val="28"/>
        </w:rPr>
        <w:t>服务要求文本框可录入本次采购的要求，供应商报价时可看到采购人在此录入的服务要求，如有商务要求，可点击【新增商务要求】，供应商报价时，需对商务要求进行文字响应。</w:t>
      </w:r>
    </w:p>
    <w:p>
      <w:pPr>
        <w:jc w:val="left"/>
      </w:pPr>
      <w:r>
        <w:drawing>
          <wp:inline distT="0" distB="0" distL="114300" distR="114300">
            <wp:extent cx="5266690" cy="2570480"/>
            <wp:effectExtent l="0" t="0" r="3810" b="1270"/>
            <wp:docPr id="2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32" w:firstLineChars="200"/>
        <w:jc w:val="left"/>
        <w:rPr>
          <w:rFonts w:ascii="仿宋_GB2312" w:hAnsi="仿宋" w:eastAsia="仿宋_GB2312" w:cs="仿宋"/>
          <w:spacing w:val="-7"/>
          <w:sz w:val="28"/>
          <w:szCs w:val="28"/>
        </w:rPr>
      </w:pPr>
      <w:r>
        <w:rPr>
          <w:rFonts w:hint="eastAsia" w:ascii="仿宋_GB2312" w:hAnsi="仿宋" w:eastAsia="仿宋_GB2312" w:cs="仿宋"/>
          <w:spacing w:val="-7"/>
          <w:sz w:val="28"/>
          <w:szCs w:val="28"/>
        </w:rPr>
        <w:t>在发票信息处，可新增或修改采购人的发票信息等。</w:t>
      </w:r>
    </w:p>
    <w:p>
      <w:pPr>
        <w:jc w:val="left"/>
      </w:pPr>
      <w:r>
        <w:drawing>
          <wp:inline distT="0" distB="0" distL="114300" distR="114300">
            <wp:extent cx="5266690" cy="2570480"/>
            <wp:effectExtent l="0" t="0" r="3810" b="1270"/>
            <wp:docPr id="2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32" w:firstLineChars="200"/>
        <w:jc w:val="left"/>
        <w:rPr>
          <w:rFonts w:ascii="仿宋_GB2312" w:hAnsi="仿宋" w:eastAsia="仿宋_GB2312" w:cs="仿宋"/>
          <w:spacing w:val="-7"/>
          <w:sz w:val="28"/>
          <w:szCs w:val="28"/>
        </w:rPr>
      </w:pPr>
      <w:r>
        <w:rPr>
          <w:rFonts w:hint="eastAsia" w:ascii="仿宋_GB2312" w:hAnsi="仿宋" w:eastAsia="仿宋_GB2312" w:cs="仿宋"/>
          <w:spacing w:val="-7"/>
          <w:sz w:val="28"/>
          <w:szCs w:val="28"/>
        </w:rPr>
        <w:t>项目信息填写完成后，点击【发布项目】，直接选定的供应商可收到项目报价信息并参与报价。</w:t>
      </w:r>
    </w:p>
    <w:p>
      <w:pPr>
        <w:ind w:firstLine="420" w:firstLineChars="200"/>
        <w:jc w:val="left"/>
        <w:rPr>
          <w:rFonts w:ascii="仿宋_GB2312" w:hAnsi="仿宋" w:eastAsia="仿宋_GB2312" w:cs="仿宋"/>
          <w:spacing w:val="-7"/>
          <w:sz w:val="28"/>
          <w:szCs w:val="28"/>
        </w:rPr>
      </w:pPr>
      <w:r>
        <w:drawing>
          <wp:inline distT="0" distB="0" distL="0" distR="0">
            <wp:extent cx="5274310" cy="2555875"/>
            <wp:effectExtent l="0" t="0" r="2540" b="0"/>
            <wp:docPr id="1677701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70122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</w:p>
    <w:p>
      <w:pPr>
        <w:pStyle w:val="6"/>
        <w:numPr>
          <w:ilvl w:val="0"/>
          <w:numId w:val="0"/>
        </w:numPr>
        <w:ind w:firstLine="562" w:firstLineChars="200"/>
        <w:rPr>
          <w:rFonts w:ascii="仿宋_GB2312" w:hAnsi="仿宋" w:eastAsia="仿宋_GB2312" w:cs="仿宋"/>
          <w:bCs/>
          <w:szCs w:val="28"/>
        </w:rPr>
      </w:pPr>
      <w:bookmarkStart w:id="25" w:name="_Toc14033"/>
      <w:r>
        <w:rPr>
          <w:rFonts w:hint="eastAsia" w:ascii="仿宋_GB2312" w:hAnsi="仿宋" w:eastAsia="仿宋_GB2312" w:cs="仿宋"/>
          <w:bCs/>
          <w:szCs w:val="28"/>
        </w:rPr>
        <w:t>4.确认成交</w:t>
      </w:r>
      <w:bookmarkEnd w:id="25"/>
    </w:p>
    <w:p>
      <w:pPr>
        <w:ind w:firstLine="532" w:firstLineChars="200"/>
        <w:jc w:val="left"/>
        <w:rPr>
          <w:rFonts w:ascii="仿宋_GB2312" w:hAnsi="仿宋" w:eastAsia="仿宋_GB2312" w:cs="仿宋"/>
          <w:spacing w:val="-7"/>
          <w:sz w:val="28"/>
          <w:szCs w:val="28"/>
        </w:rPr>
      </w:pPr>
      <w:r>
        <w:rPr>
          <w:rFonts w:hint="eastAsia" w:ascii="仿宋_GB2312" w:hAnsi="仿宋" w:eastAsia="仿宋_GB2312" w:cs="仿宋"/>
          <w:spacing w:val="-7"/>
          <w:sz w:val="28"/>
          <w:szCs w:val="28"/>
        </w:rPr>
        <w:t>供应商提交报价后，采购人可在【直接选定】项目列表中查看，项目状态变为结果待确认，点击【查看】-【确认成交结果】，可查看供应商报价总额及报价时间。</w:t>
      </w:r>
    </w:p>
    <w:p>
      <w:pPr>
        <w:jc w:val="left"/>
        <w:rPr>
          <w:rFonts w:ascii="仿宋" w:hAnsi="仿宋" w:eastAsia="仿宋" w:cs="仿宋"/>
          <w:sz w:val="28"/>
          <w:szCs w:val="28"/>
        </w:rPr>
      </w:pPr>
      <w:r>
        <w:drawing>
          <wp:inline distT="0" distB="0" distL="0" distR="0">
            <wp:extent cx="5274310" cy="2555875"/>
            <wp:effectExtent l="0" t="0" r="2540" b="0"/>
            <wp:docPr id="12248650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865068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仿宋" w:hAnsi="仿宋" w:eastAsia="仿宋" w:cs="仿宋"/>
          <w:sz w:val="28"/>
          <w:szCs w:val="28"/>
        </w:rPr>
      </w:pPr>
      <w:r>
        <w:drawing>
          <wp:inline distT="0" distB="0" distL="0" distR="0">
            <wp:extent cx="5274310" cy="2555875"/>
            <wp:effectExtent l="0" t="0" r="2540" b="0"/>
            <wp:docPr id="15814582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458292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2576195"/>
            <wp:effectExtent l="0" t="0" r="3810" b="11430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32" w:firstLineChars="200"/>
        <w:jc w:val="left"/>
        <w:rPr>
          <w:rFonts w:ascii="仿宋_GB2312" w:hAnsi="仿宋" w:eastAsia="仿宋_GB2312" w:cs="仿宋"/>
          <w:spacing w:val="-7"/>
          <w:sz w:val="28"/>
          <w:szCs w:val="28"/>
        </w:rPr>
      </w:pPr>
      <w:r>
        <w:rPr>
          <w:rFonts w:hint="eastAsia" w:ascii="仿宋_GB2312" w:hAnsi="仿宋" w:eastAsia="仿宋_GB2312" w:cs="仿宋"/>
          <w:spacing w:val="-7"/>
          <w:sz w:val="28"/>
          <w:szCs w:val="28"/>
        </w:rPr>
        <w:t>点击【查看报价详情】，可查看每个服务分项对应的报价详情。</w:t>
      </w:r>
    </w:p>
    <w:p>
      <w:pPr>
        <w:jc w:val="left"/>
        <w:rPr>
          <w:rFonts w:ascii="仿宋" w:hAnsi="仿宋" w:eastAsia="仿宋" w:cs="仿宋"/>
          <w:sz w:val="28"/>
          <w:szCs w:val="28"/>
        </w:rPr>
      </w:pPr>
      <w:r>
        <w:drawing>
          <wp:inline distT="0" distB="0" distL="0" distR="0">
            <wp:extent cx="5274310" cy="2555875"/>
            <wp:effectExtent l="0" t="0" r="2540" b="0"/>
            <wp:docPr id="9598259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825960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32" w:firstLineChars="200"/>
        <w:jc w:val="left"/>
        <w:rPr>
          <w:rFonts w:hint="eastAsia" w:ascii="仿宋_GB2312" w:hAnsi="仿宋" w:eastAsia="仿宋_GB2312" w:cs="仿宋"/>
          <w:spacing w:val="-7"/>
          <w:sz w:val="28"/>
          <w:szCs w:val="28"/>
        </w:rPr>
      </w:pPr>
      <w:r>
        <w:rPr>
          <w:rFonts w:hint="eastAsia" w:ascii="仿宋_GB2312" w:hAnsi="仿宋" w:eastAsia="仿宋_GB2312" w:cs="仿宋"/>
          <w:spacing w:val="-7"/>
          <w:sz w:val="28"/>
          <w:szCs w:val="28"/>
        </w:rPr>
        <w:t>确认无误后，点击【确认成交结果】，项目即可成交。成交信息自动导入预算管理一体化系统，采购人登录预算管理一体化系统录入合同，进行支付。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96D329C6-6AE8-4F9E-96E6-3AFF4CB42D7F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2" w:fontKey="{5C400A39-7C41-4BBF-BB9E-2580903F80A8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3" w:fontKey="{C4A5DE51-AA33-4DF9-A44E-ADFAC6AF0FE6}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4" w:fontKey="{83FCAEEF-7B24-47DA-9A40-28DDE60388C3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5" w:fontKey="{B8718B5C-1CF9-4EEB-B01A-1AC3CB256A51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6" w:fontKey="{684E28FD-A48A-49FD-87F5-00C1638D80CC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8BD8135"/>
    <w:multiLevelType w:val="singleLevel"/>
    <w:tmpl w:val="D8BD8135"/>
    <w:lvl w:ilvl="0" w:tentative="0">
      <w:start w:val="1"/>
      <w:numFmt w:val="chineseCounting"/>
      <w:pStyle w:val="6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GY4MWFiMjZiNmIzYWUyODJkYWJjMGE5MGFjZmRiMzEifQ=="/>
  </w:docVars>
  <w:rsids>
    <w:rsidRoot w:val="4CEC5712"/>
    <w:rsid w:val="007E6CF2"/>
    <w:rsid w:val="00873052"/>
    <w:rsid w:val="009316CA"/>
    <w:rsid w:val="00980243"/>
    <w:rsid w:val="00AB0FA1"/>
    <w:rsid w:val="00AD11C8"/>
    <w:rsid w:val="00BA6720"/>
    <w:rsid w:val="00BE5532"/>
    <w:rsid w:val="00D1041D"/>
    <w:rsid w:val="00D75841"/>
    <w:rsid w:val="00DA59B5"/>
    <w:rsid w:val="18D945BB"/>
    <w:rsid w:val="1CBD494F"/>
    <w:rsid w:val="230348BE"/>
    <w:rsid w:val="4CEC5712"/>
    <w:rsid w:val="50011152"/>
    <w:rsid w:val="607D0C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c 1"/>
    <w:basedOn w:val="1"/>
    <w:next w:val="1"/>
    <w:qFormat/>
    <w:uiPriority w:val="0"/>
  </w:style>
  <w:style w:type="paragraph" w:styleId="3">
    <w:name w:val="Title"/>
    <w:basedOn w:val="1"/>
    <w:qFormat/>
    <w:uiPriority w:val="0"/>
    <w:pPr>
      <w:spacing w:before="240" w:after="60"/>
      <w:jc w:val="center"/>
      <w:outlineLvl w:val="0"/>
    </w:pPr>
    <w:rPr>
      <w:rFonts w:ascii="Arial" w:hAnsi="Arial"/>
      <w:b/>
      <w:sz w:val="32"/>
    </w:rPr>
  </w:style>
  <w:style w:type="paragraph" w:customStyle="1" w:styleId="6">
    <w:name w:val="样式1"/>
    <w:basedOn w:val="3"/>
    <w:qFormat/>
    <w:uiPriority w:val="0"/>
    <w:pPr>
      <w:numPr>
        <w:ilvl w:val="0"/>
        <w:numId w:val="1"/>
      </w:numPr>
      <w:jc w:val="left"/>
    </w:pPr>
    <w:rPr>
      <w:rFonts w:asciiTheme="minorHAnsi" w:hAnsiTheme="minorHAnsi"/>
      <w:sz w:val="28"/>
    </w:rPr>
  </w:style>
  <w:style w:type="paragraph" w:customStyle="1" w:styleId="7">
    <w:name w:val="WPSOffice手动目录 1"/>
    <w:qFormat/>
    <w:uiPriority w:val="0"/>
    <w:rPr>
      <w:rFonts w:asciiTheme="minorHAnsi" w:hAnsiTheme="minorHAnsi" w:eastAsiaTheme="minorEastAsia" w:cstheme="minorBidi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numbering" Target="numbering.xml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16</Pages>
  <Words>306</Words>
  <Characters>1750</Characters>
  <Lines>14</Lines>
  <Paragraphs>4</Paragraphs>
  <TotalTime>0</TotalTime>
  <ScaleCrop>false</ScaleCrop>
  <LinksUpToDate>false</LinksUpToDate>
  <CharactersWithSpaces>2052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2023-07-13T06:02:00Z</dcterms:created>
  <dc:creator>随我</dc:creator>
  <cp:lastModifiedBy>邦妮妈甜智</cp:lastModifiedBy>
  <dcterms:modified xsi:type="dcterms:W3CDTF">2023-07-13T06:04:57Z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FC78DDABBDD34486BDBEF563C1D0C4B8_11</vt:lpwstr>
  </property>
</Properties>
</file>