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微软雅黑" w:hAnsi="微软雅黑" w:eastAsia="微软雅黑" w:cs="微软雅黑"/>
          <w:sz w:val="72"/>
          <w:szCs w:val="72"/>
        </w:rPr>
      </w:pPr>
      <w:bookmarkStart w:id="0" w:name="_Toc17549"/>
    </w:p>
    <w:p>
      <w:pPr>
        <w:jc w:val="center"/>
        <w:outlineLvl w:val="0"/>
        <w:rPr>
          <w:rFonts w:ascii="微软雅黑" w:hAnsi="微软雅黑" w:eastAsia="微软雅黑" w:cs="微软雅黑"/>
          <w:sz w:val="72"/>
          <w:szCs w:val="72"/>
        </w:rPr>
      </w:pPr>
    </w:p>
    <w:bookmarkEnd w:id="0"/>
    <w:p>
      <w:pPr>
        <w:jc w:val="center"/>
        <w:outlineLvl w:val="0"/>
        <w:rPr>
          <w:rFonts w:ascii="方正小标宋简体" w:hAnsi="微软雅黑" w:eastAsia="方正小标宋简体" w:cs="微软雅黑"/>
          <w:sz w:val="52"/>
          <w:szCs w:val="52"/>
        </w:rPr>
      </w:pPr>
      <w:bookmarkStart w:id="1" w:name="_Toc1092"/>
      <w:bookmarkStart w:id="2" w:name="_Toc4337"/>
      <w:bookmarkStart w:id="3" w:name="_Toc29553"/>
      <w:bookmarkStart w:id="4" w:name="_Toc29523"/>
      <w:bookmarkStart w:id="5" w:name="_Toc21952"/>
      <w:r>
        <w:rPr>
          <w:rFonts w:hint="eastAsia" w:ascii="方正小标宋简体" w:hAnsi="微软雅黑" w:eastAsia="方正小标宋简体" w:cs="微软雅黑"/>
          <w:sz w:val="52"/>
          <w:szCs w:val="52"/>
        </w:rPr>
        <w:t>物业管理服务</w:t>
      </w:r>
      <w:bookmarkStart w:id="32" w:name="_GoBack"/>
      <w:bookmarkEnd w:id="32"/>
      <w:r>
        <w:rPr>
          <w:rFonts w:hint="eastAsia" w:ascii="方正小标宋简体" w:hAnsi="微软雅黑" w:eastAsia="方正小标宋简体" w:cs="微软雅黑"/>
          <w:sz w:val="52"/>
          <w:szCs w:val="52"/>
        </w:rPr>
        <w:t>框架协议</w:t>
      </w:r>
      <w:bookmarkEnd w:id="1"/>
      <w:bookmarkEnd w:id="2"/>
      <w:bookmarkEnd w:id="3"/>
      <w:bookmarkEnd w:id="4"/>
    </w:p>
    <w:p>
      <w:pPr>
        <w:jc w:val="center"/>
        <w:outlineLvl w:val="0"/>
        <w:rPr>
          <w:rFonts w:ascii="方正小标宋简体" w:hAnsi="微软雅黑" w:eastAsia="方正小标宋简体" w:cs="微软雅黑"/>
          <w:sz w:val="52"/>
          <w:szCs w:val="52"/>
        </w:rPr>
      </w:pPr>
      <w:bookmarkStart w:id="6" w:name="_Toc28148"/>
      <w:bookmarkStart w:id="7" w:name="_Toc17263"/>
      <w:bookmarkStart w:id="8" w:name="_Toc23837"/>
      <w:bookmarkStart w:id="9" w:name="_Toc30553"/>
      <w:r>
        <w:rPr>
          <w:rFonts w:hint="eastAsia" w:ascii="方正小标宋简体" w:hAnsi="微软雅黑" w:eastAsia="方正小标宋简体" w:cs="微软雅黑"/>
          <w:sz w:val="52"/>
          <w:szCs w:val="52"/>
        </w:rPr>
        <w:t>二阶段</w:t>
      </w:r>
      <w:bookmarkEnd w:id="5"/>
      <w:r>
        <w:rPr>
          <w:rFonts w:hint="eastAsia" w:ascii="方正小标宋简体" w:hAnsi="微软雅黑" w:eastAsia="方正小标宋简体" w:cs="微软雅黑"/>
          <w:sz w:val="52"/>
          <w:szCs w:val="52"/>
        </w:rPr>
        <w:t>采购操作手册</w:t>
      </w:r>
      <w:bookmarkEnd w:id="6"/>
      <w:bookmarkEnd w:id="7"/>
      <w:bookmarkEnd w:id="8"/>
      <w:bookmarkEnd w:id="9"/>
    </w:p>
    <w:p>
      <w:pPr>
        <w:jc w:val="center"/>
        <w:outlineLvl w:val="0"/>
        <w:rPr>
          <w:rFonts w:ascii="方正小标宋简体" w:hAnsi="微软雅黑" w:eastAsia="方正小标宋简体" w:cs="微软雅黑"/>
          <w:sz w:val="52"/>
          <w:szCs w:val="52"/>
        </w:rPr>
      </w:pPr>
      <w:bookmarkStart w:id="10" w:name="_Toc9368"/>
      <w:bookmarkStart w:id="11" w:name="_Toc29976"/>
      <w:bookmarkStart w:id="12" w:name="_Toc8040"/>
      <w:bookmarkStart w:id="13" w:name="_Toc19849"/>
      <w:r>
        <w:rPr>
          <w:rFonts w:hint="eastAsia" w:ascii="方正小标宋简体" w:hAnsi="微软雅黑" w:eastAsia="方正小标宋简体" w:cs="微软雅黑"/>
          <w:sz w:val="52"/>
          <w:szCs w:val="52"/>
        </w:rPr>
        <w:t>（供应商版1.0）</w:t>
      </w:r>
      <w:bookmarkEnd w:id="10"/>
      <w:bookmarkEnd w:id="11"/>
      <w:bookmarkEnd w:id="12"/>
      <w:bookmarkEnd w:id="13"/>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28"/>
          <w:szCs w:val="28"/>
        </w:rPr>
      </w:pPr>
      <w:bookmarkStart w:id="14" w:name="_Toc18519"/>
      <w:bookmarkStart w:id="15" w:name="_Toc10629"/>
      <w:bookmarkStart w:id="16" w:name="_Toc28007"/>
      <w:r>
        <w:rPr>
          <w:rFonts w:hint="eastAsia" w:ascii="方正小标宋简体" w:hAnsi="微软雅黑" w:eastAsia="方正小标宋简体" w:cs="微软雅黑"/>
          <w:sz w:val="28"/>
          <w:szCs w:val="28"/>
        </w:rPr>
        <w:t>2023年7月</w:t>
      </w:r>
      <w:bookmarkEnd w:id="14"/>
      <w:bookmarkEnd w:id="15"/>
      <w:bookmarkEnd w:id="16"/>
    </w:p>
    <w:p>
      <w:pPr>
        <w:sectPr>
          <w:pgSz w:w="11906" w:h="16838"/>
          <w:pgMar w:top="1440" w:right="1800" w:bottom="1440" w:left="1800" w:header="851" w:footer="992" w:gutter="0"/>
          <w:cols w:space="425" w:num="1"/>
          <w:docGrid w:type="lines" w:linePitch="312" w:charSpace="0"/>
        </w:sectPr>
      </w:pPr>
    </w:p>
    <w:sdt>
      <w:sdtPr>
        <w:rPr>
          <w:rFonts w:hint="eastAsia" w:ascii="宋体" w:hAnsi="宋体" w:eastAsia="宋体" w:cs="宋体"/>
          <w:b/>
          <w:bCs/>
          <w:kern w:val="2"/>
          <w:sz w:val="30"/>
          <w:szCs w:val="30"/>
        </w:rPr>
        <w:id w:val="147461868"/>
        <w15:color w:val="DBDBDB"/>
        <w:docPartObj>
          <w:docPartGallery w:val="Table of Contents"/>
          <w:docPartUnique/>
        </w:docPartObj>
      </w:sdtPr>
      <w:sdtEndPr>
        <w:rPr>
          <w:rFonts w:hint="default" w:ascii="仿宋_GB2312" w:hAnsi="仿宋" w:eastAsia="仿宋_GB2312" w:cs="仿宋"/>
          <w:b/>
          <w:bCs/>
          <w:kern w:val="2"/>
          <w:sz w:val="28"/>
          <w:szCs w:val="28"/>
        </w:rPr>
      </w:sdtEndPr>
      <w:sdtContent>
        <w:p>
          <w:pPr>
            <w:pStyle w:val="10"/>
            <w:tabs>
              <w:tab w:val="right" w:leader="dot" w:pos="8306"/>
            </w:tabs>
            <w:jc w:val="center"/>
            <w:rPr>
              <w:rFonts w:ascii="仿宋_GB2312" w:hAnsi="仿宋" w:eastAsia="仿宋_GB2312" w:cs="仿宋"/>
              <w:kern w:val="2"/>
              <w:sz w:val="28"/>
              <w:szCs w:val="28"/>
            </w:rPr>
          </w:pPr>
          <w:r>
            <w:rPr>
              <w:rFonts w:hint="eastAsia" w:ascii="仿宋_GB2312" w:hAnsi="仿宋" w:eastAsia="仿宋_GB2312" w:cs="仿宋"/>
              <w:kern w:val="2"/>
              <w:sz w:val="28"/>
              <w:szCs w:val="28"/>
            </w:rPr>
            <w:t>目 录</w:t>
          </w:r>
        </w:p>
        <w:p>
          <w:pPr>
            <w:pStyle w:val="5"/>
            <w:tabs>
              <w:tab w:val="right" w:leader="dot" w:pos="8306"/>
            </w:tabs>
          </w:pPr>
          <w:r>
            <w:rPr>
              <w:rFonts w:ascii="仿宋_GB2312" w:hAnsi="仿宋" w:eastAsia="仿宋_GB2312" w:cs="仿宋"/>
              <w:sz w:val="28"/>
              <w:szCs w:val="28"/>
            </w:rPr>
            <w:fldChar w:fldCharType="begin"/>
          </w:r>
          <w:r>
            <w:rPr>
              <w:rFonts w:ascii="仿宋_GB2312" w:hAnsi="仿宋" w:eastAsia="仿宋_GB2312" w:cs="仿宋"/>
              <w:sz w:val="28"/>
              <w:szCs w:val="28"/>
            </w:rPr>
            <w:instrText xml:space="preserve">TOC \o "1-2" \h \u </w:instrText>
          </w:r>
          <w:r>
            <w:rPr>
              <w:rFonts w:ascii="仿宋_GB2312" w:hAnsi="仿宋" w:eastAsia="仿宋_GB2312" w:cs="仿宋"/>
              <w:sz w:val="28"/>
              <w:szCs w:val="28"/>
            </w:rPr>
            <w:fldChar w:fldCharType="separate"/>
          </w:r>
        </w:p>
        <w:p>
          <w:pPr>
            <w:pStyle w:val="5"/>
            <w:tabs>
              <w:tab w:val="right" w:leader="dot" w:pos="8306"/>
            </w:tabs>
            <w:rPr>
              <w:rFonts w:ascii="仿宋_GB2312" w:hAnsi="仿宋" w:eastAsia="仿宋_GB2312" w:cs="仿宋"/>
              <w:sz w:val="28"/>
              <w:szCs w:val="28"/>
            </w:rPr>
          </w:pPr>
          <w:r>
            <w:fldChar w:fldCharType="begin"/>
          </w:r>
          <w:r>
            <w:instrText xml:space="preserve"> HYPERLINK \l "_Toc2037" </w:instrText>
          </w:r>
          <w:r>
            <w:fldChar w:fldCharType="separate"/>
          </w:r>
          <w:r>
            <w:rPr>
              <w:rFonts w:hint="eastAsia" w:ascii="仿宋_GB2312" w:hAnsi="仿宋" w:eastAsia="仿宋_GB2312" w:cs="仿宋"/>
              <w:sz w:val="28"/>
              <w:szCs w:val="28"/>
            </w:rPr>
            <w:t>1.用户登录</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_Toc2037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3</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"_Toc11711" </w:instrText>
          </w:r>
          <w:r>
            <w:fldChar w:fldCharType="separate"/>
          </w:r>
          <w:r>
            <w:rPr>
              <w:rFonts w:hint="eastAsia" w:ascii="仿宋_GB2312" w:hAnsi="仿宋" w:eastAsia="仿宋_GB2312" w:cs="仿宋"/>
              <w:sz w:val="28"/>
              <w:szCs w:val="28"/>
            </w:rPr>
            <w:t>1.1进入网站</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_Toc11711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3</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"_Toc4802" </w:instrText>
          </w:r>
          <w:r>
            <w:fldChar w:fldCharType="separate"/>
          </w:r>
          <w:r>
            <w:rPr>
              <w:rFonts w:hint="eastAsia" w:ascii="仿宋_GB2312" w:hAnsi="仿宋" w:eastAsia="仿宋_GB2312" w:cs="仿宋"/>
              <w:sz w:val="28"/>
              <w:szCs w:val="28"/>
            </w:rPr>
            <w:t>1.2商城登录</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_Toc4802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3</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"_Toc21385" </w:instrText>
          </w:r>
          <w:r>
            <w:fldChar w:fldCharType="separate"/>
          </w:r>
          <w:r>
            <w:rPr>
              <w:rFonts w:hint="eastAsia" w:ascii="仿宋_GB2312" w:hAnsi="仿宋" w:eastAsia="仿宋_GB2312" w:cs="仿宋"/>
              <w:sz w:val="28"/>
              <w:szCs w:val="28"/>
            </w:rPr>
            <w:t>1.3进入框采专区</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_Toc21385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4</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rPr>
              <w:rFonts w:ascii="仿宋_GB2312" w:hAnsi="仿宋" w:eastAsia="仿宋_GB2312" w:cs="仿宋"/>
              <w:sz w:val="28"/>
              <w:szCs w:val="28"/>
            </w:rPr>
          </w:pPr>
          <w:r>
            <w:fldChar w:fldCharType="begin"/>
          </w:r>
          <w:r>
            <w:instrText xml:space="preserve"> HYPERLINK \l "_Toc10482" </w:instrText>
          </w:r>
          <w:r>
            <w:fldChar w:fldCharType="separate"/>
          </w:r>
          <w:r>
            <w:rPr>
              <w:rFonts w:hint="eastAsia" w:ascii="仿宋_GB2312" w:hAnsi="仿宋" w:eastAsia="仿宋_GB2312" w:cs="仿宋"/>
              <w:sz w:val="28"/>
              <w:szCs w:val="28"/>
            </w:rPr>
            <w:t>2.交易流程-供应商</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_Toc10482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5</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"_Toc27625" </w:instrText>
          </w:r>
          <w:r>
            <w:fldChar w:fldCharType="separate"/>
          </w:r>
          <w:r>
            <w:rPr>
              <w:rFonts w:hint="eastAsia" w:ascii="仿宋_GB2312" w:hAnsi="仿宋" w:eastAsia="仿宋_GB2312" w:cs="仿宋"/>
              <w:sz w:val="28"/>
              <w:szCs w:val="28"/>
            </w:rPr>
            <w:t>2.1人员库维护</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_Toc27625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5</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"_Toc31266" </w:instrText>
          </w:r>
          <w:r>
            <w:fldChar w:fldCharType="separate"/>
          </w:r>
          <w:r>
            <w:rPr>
              <w:rFonts w:hint="eastAsia" w:ascii="仿宋_GB2312" w:hAnsi="仿宋" w:eastAsia="仿宋_GB2312" w:cs="仿宋"/>
              <w:sz w:val="28"/>
              <w:szCs w:val="28"/>
            </w:rPr>
            <w:t>2.2维护服务基础信息</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_Toc31266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7</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"_Toc10252" </w:instrText>
          </w:r>
          <w:r>
            <w:fldChar w:fldCharType="separate"/>
          </w:r>
          <w:r>
            <w:rPr>
              <w:rFonts w:hint="eastAsia" w:ascii="仿宋_GB2312" w:hAnsi="仿宋" w:eastAsia="仿宋_GB2312" w:cs="仿宋"/>
              <w:sz w:val="28"/>
              <w:szCs w:val="28"/>
            </w:rPr>
            <w:t>2.3上架服务</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_Toc10252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7</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"_Toc15042" </w:instrText>
          </w:r>
          <w:r>
            <w:fldChar w:fldCharType="separate"/>
          </w:r>
          <w:r>
            <w:rPr>
              <w:rFonts w:hint="eastAsia" w:ascii="仿宋_GB2312" w:hAnsi="仿宋" w:eastAsia="仿宋_GB2312" w:cs="仿宋"/>
              <w:sz w:val="28"/>
              <w:szCs w:val="28"/>
            </w:rPr>
            <w:t>2.4参与报价</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_Toc15042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10</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5"/>
            <w:tabs>
              <w:tab w:val="right" w:leader="dot" w:pos="8306"/>
            </w:tabs>
            <w:ind w:firstLine="210" w:firstLineChars="100"/>
            <w:rPr>
              <w:rFonts w:ascii="仿宋_GB2312" w:hAnsi="仿宋" w:eastAsia="仿宋_GB2312" w:cs="仿宋"/>
              <w:sz w:val="28"/>
              <w:szCs w:val="28"/>
            </w:rPr>
          </w:pPr>
          <w:r>
            <w:fldChar w:fldCharType="begin"/>
          </w:r>
          <w:r>
            <w:instrText xml:space="preserve"> HYPERLINK \l "_Toc31409" </w:instrText>
          </w:r>
          <w:r>
            <w:fldChar w:fldCharType="separate"/>
          </w:r>
          <w:r>
            <w:rPr>
              <w:rFonts w:hint="eastAsia" w:ascii="仿宋_GB2312" w:hAnsi="仿宋" w:eastAsia="仿宋_GB2312" w:cs="仿宋"/>
              <w:sz w:val="28"/>
              <w:szCs w:val="28"/>
            </w:rPr>
            <w:t>2.5查看结果</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_Toc31409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12</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10"/>
            <w:tabs>
              <w:tab w:val="right" w:leader="dot" w:pos="8306"/>
            </w:tabs>
            <w:rPr>
              <w:rFonts w:ascii="仿宋_GB2312" w:hAnsi="仿宋" w:eastAsia="仿宋_GB2312" w:cs="仿宋"/>
              <w:kern w:val="2"/>
              <w:sz w:val="28"/>
              <w:szCs w:val="28"/>
            </w:rPr>
          </w:pPr>
          <w:r>
            <w:rPr>
              <w:rFonts w:ascii="仿宋_GB2312" w:hAnsi="仿宋" w:eastAsia="仿宋_GB2312" w:cs="仿宋"/>
              <w:kern w:val="2"/>
              <w:szCs w:val="28"/>
            </w:rPr>
            <w:fldChar w:fldCharType="end"/>
          </w:r>
        </w:p>
      </w:sdtContent>
    </w:sdt>
    <w:p>
      <w:pPr>
        <w:jc w:val="center"/>
        <w:rPr>
          <w:sz w:val="32"/>
          <w:szCs w:val="32"/>
        </w:rPr>
      </w:pPr>
    </w:p>
    <w:p>
      <w:r>
        <w:rPr>
          <w:rFonts w:hint="eastAsia"/>
        </w:rPr>
        <w:br w:type="page"/>
      </w:r>
    </w:p>
    <w:p>
      <w:pPr>
        <w:pStyle w:val="11"/>
        <w:numPr>
          <w:ilvl w:val="0"/>
          <w:numId w:val="0"/>
        </w:numPr>
        <w:ind w:firstLine="562" w:firstLineChars="200"/>
        <w:rPr>
          <w:rFonts w:ascii="黑体" w:hAnsi="黑体" w:eastAsia="黑体" w:cs="黑体"/>
          <w:szCs w:val="28"/>
        </w:rPr>
      </w:pPr>
      <w:bookmarkStart w:id="17" w:name="_Toc2037"/>
      <w:r>
        <w:rPr>
          <w:rFonts w:hint="eastAsia" w:ascii="黑体" w:hAnsi="黑体" w:eastAsia="黑体" w:cs="黑体"/>
          <w:szCs w:val="28"/>
        </w:rPr>
        <w:t>1.用户登录</w:t>
      </w:r>
      <w:bookmarkEnd w:id="17"/>
    </w:p>
    <w:p>
      <w:pPr>
        <w:pStyle w:val="2"/>
        <w:tabs>
          <w:tab w:val="left" w:pos="0"/>
        </w:tabs>
        <w:ind w:firstLine="562" w:firstLineChars="200"/>
        <w:rPr>
          <w:rFonts w:ascii="仿宋_GB2312" w:hAnsi="仿宋" w:eastAsia="仿宋_GB2312" w:cs="仿宋"/>
          <w:sz w:val="28"/>
          <w:szCs w:val="28"/>
        </w:rPr>
      </w:pPr>
      <w:bookmarkStart w:id="18" w:name="_Toc29636"/>
      <w:bookmarkStart w:id="19" w:name="_Toc11711"/>
      <w:bookmarkStart w:id="20" w:name="_Toc9602"/>
      <w:r>
        <w:rPr>
          <w:rFonts w:hint="eastAsia" w:ascii="仿宋_GB2312" w:hAnsi="仿宋" w:eastAsia="仿宋_GB2312" w:cs="仿宋"/>
          <w:sz w:val="28"/>
          <w:szCs w:val="28"/>
        </w:rPr>
        <w:t>1.1进入网站</w:t>
      </w:r>
      <w:bookmarkEnd w:id="18"/>
      <w:bookmarkEnd w:id="19"/>
      <w:bookmarkEnd w:id="20"/>
    </w:p>
    <w:p>
      <w:pPr>
        <w:ind w:firstLine="480"/>
        <w:jc w:val="left"/>
        <w:rPr>
          <w:rFonts w:ascii="仿宋_GB2312" w:hAnsi="仿宋" w:eastAsia="仿宋_GB2312" w:cs="仿宋"/>
          <w:sz w:val="28"/>
          <w:szCs w:val="28"/>
        </w:rPr>
      </w:pPr>
      <w:r>
        <w:rPr>
          <w:rFonts w:hint="eastAsia" w:ascii="仿宋_GB2312" w:hAnsi="仿宋" w:eastAsia="仿宋_GB2312" w:cs="仿宋"/>
          <w:sz w:val="28"/>
          <w:szCs w:val="28"/>
        </w:rPr>
        <w:t>输入网址http://www.ccgp-shandong.gov.cn/sdgp2017/site/index.jsp进入山东政府采购网，点击右边【网上商城】栏目，或直接输入http://ggzyjyzx.shandong.gov.cn/wssc/sdszfcg/进入网上商城。</w:t>
      </w:r>
    </w:p>
    <w:p>
      <w:pPr>
        <w:ind w:firstLine="480"/>
        <w:rPr>
          <w:rFonts w:ascii="仿宋_GB2312" w:hAnsi="仿宋" w:eastAsia="仿宋_GB2312" w:cs="仿宋"/>
          <w:sz w:val="28"/>
          <w:szCs w:val="28"/>
        </w:rPr>
      </w:pPr>
      <w:r>
        <w:rPr>
          <w:rFonts w:hint="eastAsia" w:ascii="仿宋_GB2312" w:hAnsi="仿宋" w:eastAsia="仿宋_GB2312" w:cs="仿宋"/>
          <w:sz w:val="28"/>
          <w:szCs w:val="28"/>
        </w:rPr>
        <w:t>注意：网上商城供应商账号密码与山东政府采购信息公开平台的账号密码一致，如需修改账号密码，或忘记密码找回，请到山东政府采购信息公开平台系统中操作，网上商城不提供账号密码修改、找回功能。</w:t>
      </w:r>
    </w:p>
    <w:p>
      <w:pPr>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7325" cy="3141345"/>
            <wp:effectExtent l="0" t="0" r="3175" b="190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4" cstate="print"/>
                    <a:stretch>
                      <a:fillRect/>
                    </a:stretch>
                  </pic:blipFill>
                  <pic:spPr>
                    <a:xfrm>
                      <a:off x="0" y="0"/>
                      <a:ext cx="5267325" cy="3141345"/>
                    </a:xfrm>
                    <a:prstGeom prst="rect">
                      <a:avLst/>
                    </a:prstGeom>
                    <a:noFill/>
                    <a:ln>
                      <a:noFill/>
                    </a:ln>
                  </pic:spPr>
                </pic:pic>
              </a:graphicData>
            </a:graphic>
          </wp:inline>
        </w:drawing>
      </w:r>
    </w:p>
    <w:p>
      <w:pPr>
        <w:pStyle w:val="2"/>
        <w:tabs>
          <w:tab w:val="left" w:pos="0"/>
        </w:tabs>
        <w:ind w:firstLine="562" w:firstLineChars="200"/>
        <w:rPr>
          <w:rFonts w:ascii="仿宋_GB2312" w:hAnsi="仿宋" w:eastAsia="仿宋_GB2312" w:cs="仿宋"/>
          <w:sz w:val="28"/>
          <w:szCs w:val="28"/>
        </w:rPr>
      </w:pPr>
      <w:bookmarkStart w:id="21" w:name="_Toc20421"/>
      <w:bookmarkStart w:id="22" w:name="_Toc4802"/>
      <w:bookmarkStart w:id="23" w:name="_Toc17105"/>
      <w:r>
        <w:rPr>
          <w:rFonts w:hint="eastAsia" w:ascii="仿宋_GB2312" w:hAnsi="仿宋" w:eastAsia="仿宋_GB2312" w:cs="仿宋"/>
          <w:sz w:val="28"/>
          <w:szCs w:val="28"/>
        </w:rPr>
        <w:t>1.2商城登录</w:t>
      </w:r>
      <w:bookmarkEnd w:id="21"/>
      <w:bookmarkEnd w:id="22"/>
      <w:bookmarkEnd w:id="23"/>
    </w:p>
    <w:p>
      <w:pPr>
        <w:ind w:firstLine="480"/>
        <w:rPr>
          <w:rFonts w:ascii="仿宋_GB2312" w:hAnsi="仿宋" w:eastAsia="仿宋_GB2312" w:cs="仿宋"/>
          <w:sz w:val="28"/>
          <w:szCs w:val="28"/>
        </w:rPr>
      </w:pPr>
      <w:r>
        <w:rPr>
          <w:rFonts w:hint="eastAsia" w:ascii="仿宋_GB2312" w:hAnsi="仿宋" w:eastAsia="仿宋_GB2312" w:cs="仿宋"/>
          <w:sz w:val="28"/>
          <w:szCs w:val="28"/>
        </w:rPr>
        <w:t>进入商城首页后，登录时选择身份选择时选择供应商，输入用户名和密码（与山东政府采购信息公开平台的账号密码一致），输入验证码后点击【登录】，进入系统。</w:t>
      </w:r>
    </w:p>
    <w:p>
      <w:pPr>
        <w:ind w:firstLine="480"/>
        <w:rPr>
          <w:rFonts w:ascii="仿宋_GB2312" w:hAnsi="仿宋" w:eastAsia="仿宋_GB2312" w:cs="仿宋"/>
          <w:sz w:val="28"/>
          <w:szCs w:val="28"/>
        </w:rPr>
      </w:pPr>
    </w:p>
    <w:p>
      <w:pPr>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4785" cy="3364865"/>
            <wp:effectExtent l="0" t="0" r="5715" b="6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5"/>
                    <a:stretch>
                      <a:fillRect/>
                    </a:stretch>
                  </pic:blipFill>
                  <pic:spPr>
                    <a:xfrm>
                      <a:off x="0" y="0"/>
                      <a:ext cx="5264785" cy="3364865"/>
                    </a:xfrm>
                    <a:prstGeom prst="rect">
                      <a:avLst/>
                    </a:prstGeom>
                    <a:noFill/>
                    <a:ln>
                      <a:noFill/>
                    </a:ln>
                  </pic:spPr>
                </pic:pic>
              </a:graphicData>
            </a:graphic>
          </wp:inline>
        </w:drawing>
      </w:r>
    </w:p>
    <w:p>
      <w:pPr>
        <w:jc w:val="center"/>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597785"/>
            <wp:effectExtent l="0" t="0" r="3810"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5266690" cy="2597785"/>
                    </a:xfrm>
                    <a:prstGeom prst="rect">
                      <a:avLst/>
                    </a:prstGeom>
                    <a:noFill/>
                    <a:ln>
                      <a:noFill/>
                    </a:ln>
                  </pic:spPr>
                </pic:pic>
              </a:graphicData>
            </a:graphic>
          </wp:inline>
        </w:drawing>
      </w:r>
    </w:p>
    <w:p>
      <w:pPr>
        <w:pStyle w:val="2"/>
        <w:tabs>
          <w:tab w:val="left" w:pos="0"/>
        </w:tabs>
        <w:ind w:firstLine="562" w:firstLineChars="200"/>
        <w:rPr>
          <w:rFonts w:ascii="仿宋_GB2312" w:hAnsi="仿宋" w:eastAsia="仿宋_GB2312" w:cs="仿宋"/>
          <w:sz w:val="28"/>
          <w:szCs w:val="28"/>
        </w:rPr>
      </w:pPr>
      <w:bookmarkStart w:id="24" w:name="_Toc21385"/>
      <w:bookmarkStart w:id="25" w:name="_Toc22196"/>
      <w:r>
        <w:rPr>
          <w:rFonts w:hint="eastAsia" w:ascii="仿宋_GB2312" w:hAnsi="仿宋" w:eastAsia="仿宋_GB2312" w:cs="仿宋"/>
          <w:sz w:val="28"/>
          <w:szCs w:val="28"/>
        </w:rPr>
        <w:t>1.3进入框采专区</w:t>
      </w:r>
      <w:bookmarkEnd w:id="24"/>
      <w:bookmarkEnd w:id="25"/>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登录商城后，点击导航栏的【框架协议采购】，可进入框架协议采购专区。</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31267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66690" cy="2312670"/>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点击【框架协议】，可跳转至框架协议后台。</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493645"/>
            <wp:effectExtent l="0" t="0" r="381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5266690" cy="2493645"/>
                    </a:xfrm>
                    <a:prstGeom prst="rect">
                      <a:avLst/>
                    </a:prstGeom>
                    <a:noFill/>
                    <a:ln>
                      <a:noFill/>
                    </a:ln>
                  </pic:spPr>
                </pic:pic>
              </a:graphicData>
            </a:graphic>
          </wp:inline>
        </w:drawing>
      </w:r>
    </w:p>
    <w:p>
      <w:pPr>
        <w:pStyle w:val="11"/>
        <w:numPr>
          <w:ilvl w:val="0"/>
          <w:numId w:val="0"/>
        </w:numPr>
        <w:ind w:firstLine="562" w:firstLineChars="200"/>
        <w:rPr>
          <w:rFonts w:ascii="黑体" w:hAnsi="黑体" w:eastAsia="黑体" w:cs="黑体"/>
          <w:szCs w:val="28"/>
        </w:rPr>
      </w:pPr>
      <w:bookmarkStart w:id="26" w:name="_Toc10482"/>
      <w:r>
        <w:rPr>
          <w:rFonts w:hint="eastAsia" w:ascii="黑体" w:hAnsi="黑体" w:eastAsia="黑体" w:cs="黑体"/>
          <w:szCs w:val="28"/>
        </w:rPr>
        <w:t>2.交易流程-供应商</w:t>
      </w:r>
      <w:bookmarkEnd w:id="26"/>
    </w:p>
    <w:p>
      <w:pPr>
        <w:pStyle w:val="2"/>
        <w:ind w:firstLine="562" w:firstLineChars="200"/>
        <w:rPr>
          <w:rFonts w:ascii="仿宋_GB2312" w:hAnsi="仿宋" w:eastAsia="仿宋_GB2312" w:cs="仿宋"/>
          <w:sz w:val="28"/>
          <w:szCs w:val="28"/>
        </w:rPr>
      </w:pPr>
      <w:bookmarkStart w:id="27" w:name="_Toc27625"/>
      <w:r>
        <w:rPr>
          <w:rFonts w:hint="eastAsia" w:ascii="仿宋_GB2312" w:hAnsi="仿宋" w:eastAsia="仿宋_GB2312" w:cs="仿宋"/>
          <w:sz w:val="28"/>
          <w:szCs w:val="28"/>
        </w:rPr>
        <w:t>2.1人员库维护（一般不需要维护）</w:t>
      </w:r>
      <w:bookmarkEnd w:id="27"/>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供应商登录系统，点击【我的待办】，进入后台界面。</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496185"/>
            <wp:effectExtent l="0" t="0" r="381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5266690" cy="2496185"/>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若项目对人员资质有要求，供应商需要提前在【框采服务管理】-【人员库维护】中，添加人员基本信息及资质信息。</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7960" cy="2552700"/>
            <wp:effectExtent l="0" t="0" r="2540" b="3175"/>
            <wp:docPr id="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8"/>
                    <pic:cNvPicPr>
                      <a:picLocks noChangeAspect="1"/>
                    </pic:cNvPicPr>
                  </pic:nvPicPr>
                  <pic:blipFill>
                    <a:blip r:embed="rId10"/>
                    <a:stretch>
                      <a:fillRect/>
                    </a:stretch>
                  </pic:blipFill>
                  <pic:spPr>
                    <a:xfrm>
                      <a:off x="0" y="0"/>
                      <a:ext cx="5267960" cy="2552700"/>
                    </a:xfrm>
                    <a:prstGeom prst="rect">
                      <a:avLst/>
                    </a:prstGeom>
                    <a:noFill/>
                    <a:ln>
                      <a:noFill/>
                    </a:ln>
                  </pic:spPr>
                </pic:pic>
              </a:graphicData>
            </a:graphic>
          </wp:inline>
        </w:drawing>
      </w:r>
    </w:p>
    <w:p>
      <w:pPr>
        <w:jc w:val="left"/>
        <w:rPr>
          <w:rFonts w:ascii="仿宋_GB2312" w:hAnsi="仿宋" w:eastAsia="仿宋_GB2312" w:cs="仿宋"/>
          <w:sz w:val="28"/>
          <w:szCs w:val="28"/>
        </w:rPr>
      </w:pPr>
      <w:r>
        <w:drawing>
          <wp:inline distT="0" distB="0" distL="0" distR="0">
            <wp:extent cx="5274310" cy="2555875"/>
            <wp:effectExtent l="0" t="0" r="2540" b="0"/>
            <wp:docPr id="14443254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25433" name="图片 1"/>
                    <pic:cNvPicPr>
                      <a:picLocks noChangeAspect="1"/>
                    </pic:cNvPicPr>
                  </pic:nvPicPr>
                  <pic:blipFill>
                    <a:blip r:embed="rId11"/>
                    <a:stretch>
                      <a:fillRect/>
                    </a:stretch>
                  </pic:blipFill>
                  <pic:spPr>
                    <a:xfrm>
                      <a:off x="0" y="0"/>
                      <a:ext cx="5274310" cy="2555875"/>
                    </a:xfrm>
                    <a:prstGeom prst="rect">
                      <a:avLst/>
                    </a:prstGeom>
                  </pic:spPr>
                </pic:pic>
              </a:graphicData>
            </a:graphic>
          </wp:inline>
        </w:drawing>
      </w:r>
    </w:p>
    <w:p>
      <w:pPr>
        <w:pStyle w:val="2"/>
        <w:ind w:firstLine="562" w:firstLineChars="200"/>
        <w:rPr>
          <w:rFonts w:ascii="仿宋_GB2312" w:hAnsi="仿宋" w:eastAsia="仿宋_GB2312" w:cs="仿宋"/>
          <w:sz w:val="28"/>
          <w:szCs w:val="28"/>
        </w:rPr>
      </w:pPr>
      <w:bookmarkStart w:id="28" w:name="_Toc31266"/>
      <w:r>
        <w:rPr>
          <w:rFonts w:hint="eastAsia" w:ascii="仿宋_GB2312" w:hAnsi="仿宋" w:eastAsia="仿宋_GB2312" w:cs="仿宋"/>
          <w:sz w:val="28"/>
          <w:szCs w:val="28"/>
        </w:rPr>
        <w:t>2.2维护服务基础信息</w:t>
      </w:r>
      <w:bookmarkEnd w:id="28"/>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供应商在【框采服务管理】-【服务基础信息】中，需提前维护各入围服务品目的基础信息。点击【新增】，可进行具体服务信息的维护。编辑完成后，点击【保存】。入围相同服务品目的框架协议时，服务基础信息可共用。</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7960" cy="2552700"/>
            <wp:effectExtent l="0" t="0" r="2540" b="3175"/>
            <wp:docPr id="6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6"/>
                    <pic:cNvPicPr>
                      <a:picLocks noChangeAspect="1"/>
                    </pic:cNvPicPr>
                  </pic:nvPicPr>
                  <pic:blipFill>
                    <a:blip r:embed="rId12"/>
                    <a:stretch>
                      <a:fillRect/>
                    </a:stretch>
                  </pic:blipFill>
                  <pic:spPr>
                    <a:xfrm>
                      <a:off x="0" y="0"/>
                      <a:ext cx="5267960" cy="2552700"/>
                    </a:xfrm>
                    <a:prstGeom prst="rect">
                      <a:avLst/>
                    </a:prstGeom>
                    <a:noFill/>
                    <a:ln>
                      <a:noFill/>
                    </a:ln>
                  </pic:spPr>
                </pic:pic>
              </a:graphicData>
            </a:graphic>
          </wp:inline>
        </w:drawing>
      </w:r>
    </w:p>
    <w:p>
      <w:pPr>
        <w:jc w:val="left"/>
        <w:rPr>
          <w:rFonts w:ascii="仿宋_GB2312" w:hAnsi="仿宋" w:eastAsia="仿宋_GB2312" w:cs="仿宋"/>
          <w:sz w:val="28"/>
          <w:szCs w:val="28"/>
        </w:rPr>
      </w:pPr>
      <w:r>
        <w:drawing>
          <wp:inline distT="0" distB="0" distL="0" distR="0">
            <wp:extent cx="5274310" cy="2555875"/>
            <wp:effectExtent l="0" t="0" r="2540" b="0"/>
            <wp:docPr id="586234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34483" name="图片 1"/>
                    <pic:cNvPicPr>
                      <a:picLocks noChangeAspect="1"/>
                    </pic:cNvPicPr>
                  </pic:nvPicPr>
                  <pic:blipFill>
                    <a:blip r:embed="rId13"/>
                    <a:stretch>
                      <a:fillRect/>
                    </a:stretch>
                  </pic:blipFill>
                  <pic:spPr>
                    <a:xfrm>
                      <a:off x="0" y="0"/>
                      <a:ext cx="5274310" cy="2555875"/>
                    </a:xfrm>
                    <a:prstGeom prst="rect">
                      <a:avLst/>
                    </a:prstGeom>
                  </pic:spPr>
                </pic:pic>
              </a:graphicData>
            </a:graphic>
          </wp:inline>
        </w:drawing>
      </w:r>
    </w:p>
    <w:p>
      <w:pPr>
        <w:pStyle w:val="2"/>
        <w:ind w:firstLine="562" w:firstLineChars="200"/>
        <w:rPr>
          <w:rFonts w:ascii="仿宋_GB2312" w:hAnsi="仿宋" w:eastAsia="仿宋_GB2312" w:cs="仿宋"/>
          <w:sz w:val="28"/>
          <w:szCs w:val="28"/>
        </w:rPr>
      </w:pPr>
      <w:bookmarkStart w:id="29" w:name="_Toc10252"/>
      <w:r>
        <w:rPr>
          <w:rFonts w:hint="eastAsia" w:ascii="仿宋_GB2312" w:hAnsi="仿宋" w:eastAsia="仿宋_GB2312" w:cs="仿宋"/>
          <w:sz w:val="28"/>
          <w:szCs w:val="28"/>
        </w:rPr>
        <w:t>2.3上架服务</w:t>
      </w:r>
      <w:bookmarkEnd w:id="29"/>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供应商在【框采服务管理】-【入围服务库】中，找到新入围的框架协议，点击【编辑】。</w:t>
      </w:r>
    </w:p>
    <w:p>
      <w:pPr>
        <w:jc w:val="left"/>
        <w:rPr>
          <w:rFonts w:ascii="仿宋_GB2312" w:hAnsi="仿宋" w:eastAsia="仿宋_GB2312" w:cs="仿宋"/>
          <w:sz w:val="28"/>
          <w:szCs w:val="28"/>
        </w:rPr>
      </w:pP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选择提前维护好的服务基础信息，将该入围框架协议与服务信息模板关联。</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7960" cy="2552700"/>
            <wp:effectExtent l="0" t="0" r="2540" b="3175"/>
            <wp:docPr id="7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3"/>
                    <pic:cNvPicPr>
                      <a:picLocks noChangeAspect="1"/>
                    </pic:cNvPicPr>
                  </pic:nvPicPr>
                  <pic:blipFill>
                    <a:blip r:embed="rId14"/>
                    <a:stretch>
                      <a:fillRect/>
                    </a:stretch>
                  </pic:blipFill>
                  <pic:spPr>
                    <a:xfrm>
                      <a:off x="0" y="0"/>
                      <a:ext cx="5267960" cy="2552700"/>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关联服务模板后，需维护供应商服务区域。</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597785"/>
            <wp:effectExtent l="0" t="0" r="3810" b="57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66690" cy="2597785"/>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点击【选择服务区域】，在服务区域中，勾选供应商能服务到的范围。</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597785"/>
            <wp:effectExtent l="0" t="0" r="381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6"/>
                    <a:stretch>
                      <a:fillRect/>
                    </a:stretch>
                  </pic:blipFill>
                  <pic:spPr>
                    <a:xfrm>
                      <a:off x="0" y="0"/>
                      <a:ext cx="5266690" cy="2597785"/>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维护经营地址处，点击【新增】，可添加公司的经营地址。</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597785"/>
            <wp:effectExtent l="0" t="0" r="3810" b="571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7"/>
                    <a:stretch>
                      <a:fillRect/>
                    </a:stretch>
                  </pic:blipFill>
                  <pic:spPr>
                    <a:xfrm>
                      <a:off x="0" y="0"/>
                      <a:ext cx="5266690" cy="2597785"/>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维护完信息后，点击【提交上架】，上架后，采购人可在前台直接选定供应商，发起项目。</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6690" cy="2597785"/>
            <wp:effectExtent l="0" t="0" r="3810" b="571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8"/>
                    <a:stretch>
                      <a:fillRect/>
                    </a:stretch>
                  </pic:blipFill>
                  <pic:spPr>
                    <a:xfrm>
                      <a:off x="0" y="0"/>
                      <a:ext cx="5266690" cy="2597785"/>
                    </a:xfrm>
                    <a:prstGeom prst="rect">
                      <a:avLst/>
                    </a:prstGeom>
                    <a:noFill/>
                    <a:ln>
                      <a:noFill/>
                    </a:ln>
                  </pic:spPr>
                </pic:pic>
              </a:graphicData>
            </a:graphic>
          </wp:inline>
        </w:drawing>
      </w:r>
    </w:p>
    <w:p>
      <w:pPr>
        <w:pStyle w:val="2"/>
        <w:ind w:firstLine="562" w:firstLineChars="200"/>
        <w:rPr>
          <w:rFonts w:ascii="仿宋_GB2312" w:hAnsi="仿宋" w:eastAsia="仿宋_GB2312" w:cs="仿宋"/>
          <w:sz w:val="28"/>
          <w:szCs w:val="28"/>
        </w:rPr>
      </w:pPr>
      <w:bookmarkStart w:id="30" w:name="_Toc15042"/>
      <w:r>
        <w:rPr>
          <w:rFonts w:hint="eastAsia" w:ascii="仿宋_GB2312" w:hAnsi="仿宋" w:eastAsia="仿宋_GB2312" w:cs="仿宋"/>
          <w:sz w:val="28"/>
          <w:szCs w:val="28"/>
        </w:rPr>
        <w:t>2.4参与报价</w:t>
      </w:r>
      <w:bookmarkEnd w:id="30"/>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采购人发布项目后，供应商可在【框采交易管理】-【直接选定】中查看项目，点击【查看】，可查看项目具体信息，点击【去报价】，可进入供应商报价页面。</w:t>
      </w:r>
    </w:p>
    <w:p>
      <w:pPr>
        <w:jc w:val="left"/>
        <w:rPr>
          <w:rFonts w:ascii="仿宋_GB2312" w:hAnsi="仿宋" w:eastAsia="仿宋_GB2312" w:cs="仿宋"/>
          <w:sz w:val="28"/>
          <w:szCs w:val="28"/>
        </w:rPr>
      </w:pPr>
      <w:r>
        <w:rPr>
          <w:rFonts w:hint="eastAsia" w:ascii="仿宋_GB2312" w:hAnsi="仿宋" w:eastAsia="仿宋_GB2312" w:cs="仿宋"/>
          <w:sz w:val="28"/>
          <w:szCs w:val="28"/>
        </w:rPr>
        <w:drawing>
          <wp:inline distT="0" distB="0" distL="114300" distR="114300">
            <wp:extent cx="5267960" cy="2236470"/>
            <wp:effectExtent l="0" t="0" r="2540" b="1905"/>
            <wp:docPr id="7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7"/>
                    <pic:cNvPicPr>
                      <a:picLocks noChangeAspect="1"/>
                    </pic:cNvPicPr>
                  </pic:nvPicPr>
                  <pic:blipFill>
                    <a:blip r:embed="rId19"/>
                    <a:stretch>
                      <a:fillRect/>
                    </a:stretch>
                  </pic:blipFill>
                  <pic:spPr>
                    <a:xfrm>
                      <a:off x="0" y="0"/>
                      <a:ext cx="5267960" cy="2236470"/>
                    </a:xfrm>
                    <a:prstGeom prst="rect">
                      <a:avLst/>
                    </a:prstGeom>
                    <a:noFill/>
                    <a:ln>
                      <a:noFill/>
                    </a:ln>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供应商根据采购人发布的采购需求，在报价页面录入本项目的报价。</w:t>
      </w:r>
    </w:p>
    <w:p>
      <w:pPr>
        <w:jc w:val="left"/>
        <w:rPr>
          <w:rFonts w:ascii="仿宋_GB2312" w:hAnsi="仿宋" w:eastAsia="仿宋_GB2312" w:cs="仿宋"/>
          <w:sz w:val="28"/>
          <w:szCs w:val="28"/>
        </w:rPr>
      </w:pPr>
      <w:r>
        <w:drawing>
          <wp:inline distT="0" distB="0" distL="0" distR="0">
            <wp:extent cx="5274310" cy="2555875"/>
            <wp:effectExtent l="0" t="0" r="2540" b="0"/>
            <wp:docPr id="1654564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564244" name="图片 1"/>
                    <pic:cNvPicPr>
                      <a:picLocks noChangeAspect="1"/>
                    </pic:cNvPicPr>
                  </pic:nvPicPr>
                  <pic:blipFill>
                    <a:blip r:embed="rId20"/>
                    <a:stretch>
                      <a:fillRect/>
                    </a:stretch>
                  </pic:blipFill>
                  <pic:spPr>
                    <a:xfrm>
                      <a:off x="0" y="0"/>
                      <a:ext cx="5274310" cy="2555875"/>
                    </a:xfrm>
                    <a:prstGeom prst="rect">
                      <a:avLst/>
                    </a:prstGeom>
                  </pic:spPr>
                </pic:pic>
              </a:graphicData>
            </a:graphic>
          </wp:inline>
        </w:drawing>
      </w:r>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报价信息录入完成，点击【提交报价】，等待采购人确认。</w:t>
      </w:r>
    </w:p>
    <w:p>
      <w:pPr>
        <w:jc w:val="left"/>
        <w:rPr>
          <w:rFonts w:ascii="仿宋_GB2312" w:hAnsi="仿宋" w:eastAsia="仿宋_GB2312" w:cs="仿宋"/>
          <w:sz w:val="28"/>
          <w:szCs w:val="28"/>
        </w:rPr>
      </w:pPr>
      <w:r>
        <w:drawing>
          <wp:inline distT="0" distB="0" distL="0" distR="0">
            <wp:extent cx="5274310" cy="2555875"/>
            <wp:effectExtent l="0" t="0" r="2540" b="0"/>
            <wp:docPr id="969396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396666" name="图片 1"/>
                    <pic:cNvPicPr>
                      <a:picLocks noChangeAspect="1"/>
                    </pic:cNvPicPr>
                  </pic:nvPicPr>
                  <pic:blipFill>
                    <a:blip r:embed="rId21"/>
                    <a:stretch>
                      <a:fillRect/>
                    </a:stretch>
                  </pic:blipFill>
                  <pic:spPr>
                    <a:xfrm>
                      <a:off x="0" y="0"/>
                      <a:ext cx="5274310" cy="2555875"/>
                    </a:xfrm>
                    <a:prstGeom prst="rect">
                      <a:avLst/>
                    </a:prstGeom>
                  </pic:spPr>
                </pic:pic>
              </a:graphicData>
            </a:graphic>
          </wp:inline>
        </w:drawing>
      </w:r>
    </w:p>
    <w:p>
      <w:pPr>
        <w:pStyle w:val="2"/>
        <w:ind w:firstLine="562" w:firstLineChars="200"/>
        <w:rPr>
          <w:rFonts w:ascii="仿宋_GB2312" w:hAnsi="仿宋" w:eastAsia="仿宋_GB2312" w:cs="仿宋"/>
          <w:sz w:val="28"/>
          <w:szCs w:val="28"/>
        </w:rPr>
      </w:pPr>
      <w:bookmarkStart w:id="31" w:name="_Toc31409"/>
      <w:r>
        <w:rPr>
          <w:rFonts w:hint="eastAsia" w:ascii="仿宋_GB2312" w:hAnsi="仿宋" w:eastAsia="仿宋_GB2312" w:cs="仿宋"/>
          <w:sz w:val="28"/>
          <w:szCs w:val="28"/>
        </w:rPr>
        <w:t>2.5查看结果</w:t>
      </w:r>
      <w:bookmarkEnd w:id="31"/>
    </w:p>
    <w:p>
      <w:pPr>
        <w:ind w:firstLine="560" w:firstLineChars="200"/>
        <w:jc w:val="left"/>
        <w:rPr>
          <w:rFonts w:ascii="仿宋_GB2312" w:hAnsi="仿宋" w:eastAsia="仿宋_GB2312" w:cs="仿宋"/>
          <w:sz w:val="28"/>
          <w:szCs w:val="28"/>
        </w:rPr>
      </w:pPr>
      <w:r>
        <w:rPr>
          <w:rFonts w:hint="eastAsia" w:ascii="仿宋_GB2312" w:hAnsi="仿宋" w:eastAsia="仿宋_GB2312" w:cs="仿宋"/>
          <w:sz w:val="28"/>
          <w:szCs w:val="28"/>
        </w:rPr>
        <w:t>采购人确认供应商报价后，项目状态变为【项目成功】，点击【查看】，可以查看此项目信息及报价信息。</w:t>
      </w:r>
    </w:p>
    <w:p>
      <w:r>
        <w:drawing>
          <wp:inline distT="0" distB="0" distL="0" distR="0">
            <wp:extent cx="5274310" cy="2291715"/>
            <wp:effectExtent l="0" t="0" r="2540" b="0"/>
            <wp:docPr id="991149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49980" name="图片 1"/>
                    <pic:cNvPicPr>
                      <a:picLocks noChangeAspect="1"/>
                    </pic:cNvPicPr>
                  </pic:nvPicPr>
                  <pic:blipFill>
                    <a:blip r:embed="rId22"/>
                    <a:stretch>
                      <a:fillRect/>
                    </a:stretch>
                  </pic:blipFill>
                  <pic:spPr>
                    <a:xfrm>
                      <a:off x="0" y="0"/>
                      <a:ext cx="5274310" cy="229171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3A52360-9EA4-42C3-8CCB-F5676082A69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365EEA9-8129-4533-B24D-AFCAE4F71BB8}"/>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embedRegular r:id="rId3" w:fontKey="{49AFFA09-E5D5-469D-B2D5-FBCFABAA2271}"/>
  </w:font>
  <w:font w:name="方正小标宋简体">
    <w:panose1 w:val="02000000000000000000"/>
    <w:charset w:val="86"/>
    <w:family w:val="auto"/>
    <w:pitch w:val="default"/>
    <w:sig w:usb0="00000001" w:usb1="080E0000" w:usb2="00000000" w:usb3="00000000" w:csb0="00040000" w:csb1="00000000"/>
    <w:embedRegular r:id="rId4" w:fontKey="{C5BB72F8-627C-40BD-A754-1E8B1A7D1E3A}"/>
  </w:font>
  <w:font w:name="仿宋_GB2312">
    <w:panose1 w:val="02010609030101010101"/>
    <w:charset w:val="86"/>
    <w:family w:val="modern"/>
    <w:pitch w:val="default"/>
    <w:sig w:usb0="00000001" w:usb1="080E0000" w:usb2="00000000" w:usb3="00000000" w:csb0="00040000" w:csb1="00000000"/>
    <w:embedRegular r:id="rId5" w:fontKey="{9C8E6427-9E36-4B09-914F-31081BA6862E}"/>
  </w:font>
  <w:font w:name="仿宋">
    <w:panose1 w:val="02010609060101010101"/>
    <w:charset w:val="86"/>
    <w:family w:val="modern"/>
    <w:pitch w:val="default"/>
    <w:sig w:usb0="800002BF" w:usb1="38CF7CFA" w:usb2="00000016" w:usb3="00000000" w:csb0="00040001" w:csb1="00000000"/>
    <w:embedRegular r:id="rId6" w:fontKey="{31405FC5-52C5-4E43-A17D-212948BAA748}"/>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BD8135"/>
    <w:multiLevelType w:val="singleLevel"/>
    <w:tmpl w:val="D8BD8135"/>
    <w:lvl w:ilvl="0" w:tentative="0">
      <w:start w:val="1"/>
      <w:numFmt w:val="chineseCounting"/>
      <w:pStyle w:val="11"/>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Y4MWFiMjZiNmIzYWUyODJkYWJjMGE5MGFjZmRiMzEifQ=="/>
  </w:docVars>
  <w:rsids>
    <w:rsidRoot w:val="68252CCA"/>
    <w:rsid w:val="000306CF"/>
    <w:rsid w:val="0007090E"/>
    <w:rsid w:val="000900BE"/>
    <w:rsid w:val="00363C28"/>
    <w:rsid w:val="00644229"/>
    <w:rsid w:val="00745887"/>
    <w:rsid w:val="00786995"/>
    <w:rsid w:val="00934C15"/>
    <w:rsid w:val="00963015"/>
    <w:rsid w:val="00A403E1"/>
    <w:rsid w:val="00A46232"/>
    <w:rsid w:val="00C7400C"/>
    <w:rsid w:val="00E0427A"/>
    <w:rsid w:val="14EB6229"/>
    <w:rsid w:val="296E7531"/>
    <w:rsid w:val="2EC332AD"/>
    <w:rsid w:val="4A583E34"/>
    <w:rsid w:val="50C82661"/>
    <w:rsid w:val="5818245E"/>
    <w:rsid w:val="68252CCA"/>
    <w:rsid w:val="7DB541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after="260" w:line="413" w:lineRule="auto"/>
      <w:outlineLvl w:val="1"/>
    </w:pPr>
    <w:rPr>
      <w:rFonts w:ascii="Arial" w:hAnsi="Arial" w:eastAsia="黑体"/>
      <w:b/>
      <w:sz w:val="30"/>
    </w:rPr>
  </w:style>
  <w:style w:type="character" w:default="1" w:styleId="9">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3">
    <w:name w:val="footer"/>
    <w:basedOn w:val="1"/>
    <w:link w:val="13"/>
    <w:qFormat/>
    <w:uiPriority w:val="0"/>
    <w:pPr>
      <w:tabs>
        <w:tab w:val="center" w:pos="4153"/>
        <w:tab w:val="right" w:pos="8306"/>
      </w:tabs>
      <w:snapToGrid w:val="0"/>
      <w:jc w:val="left"/>
    </w:pPr>
    <w:rPr>
      <w:sz w:val="18"/>
      <w:szCs w:val="18"/>
    </w:rPr>
  </w:style>
  <w:style w:type="paragraph" w:styleId="4">
    <w:name w:val="header"/>
    <w:basedOn w:val="1"/>
    <w:link w:val="12"/>
    <w:qFormat/>
    <w:uiPriority w:val="0"/>
    <w:pPr>
      <w:tabs>
        <w:tab w:val="center" w:pos="4153"/>
        <w:tab w:val="right" w:pos="8306"/>
      </w:tabs>
      <w:snapToGrid w:val="0"/>
      <w:jc w:val="center"/>
    </w:pPr>
    <w:rPr>
      <w:sz w:val="18"/>
      <w:szCs w:val="18"/>
    </w:rPr>
  </w:style>
  <w:style w:type="paragraph" w:styleId="5">
    <w:name w:val="toc 1"/>
    <w:basedOn w:val="1"/>
    <w:next w:val="1"/>
    <w:qFormat/>
    <w:uiPriority w:val="0"/>
  </w:style>
  <w:style w:type="paragraph" w:styleId="6">
    <w:name w:val="toc 2"/>
    <w:basedOn w:val="1"/>
    <w:next w:val="1"/>
    <w:qFormat/>
    <w:uiPriority w:val="0"/>
    <w:pPr>
      <w:ind w:left="420" w:leftChars="200"/>
    </w:pPr>
  </w:style>
  <w:style w:type="paragraph" w:styleId="7">
    <w:name w:val="Title"/>
    <w:basedOn w:val="1"/>
    <w:qFormat/>
    <w:uiPriority w:val="0"/>
    <w:pPr>
      <w:spacing w:before="240" w:after="60"/>
      <w:jc w:val="center"/>
      <w:outlineLvl w:val="0"/>
    </w:pPr>
    <w:rPr>
      <w:rFonts w:ascii="Arial" w:hAnsi="Arial"/>
      <w:b/>
      <w:sz w:val="32"/>
    </w:rPr>
  </w:style>
  <w:style w:type="paragraph" w:customStyle="1" w:styleId="10">
    <w:name w:val="WPSOffice手动目录 1"/>
    <w:qFormat/>
    <w:uiPriority w:val="0"/>
    <w:rPr>
      <w:rFonts w:asciiTheme="minorHAnsi" w:hAnsiTheme="minorHAnsi" w:eastAsiaTheme="minorEastAsia" w:cstheme="minorBidi"/>
      <w:lang w:val="en-US" w:eastAsia="zh-CN" w:bidi="ar-SA"/>
    </w:rPr>
  </w:style>
  <w:style w:type="paragraph" w:customStyle="1" w:styleId="11">
    <w:name w:val="样式1"/>
    <w:basedOn w:val="7"/>
    <w:qFormat/>
    <w:uiPriority w:val="0"/>
    <w:pPr>
      <w:numPr>
        <w:ilvl w:val="0"/>
        <w:numId w:val="1"/>
      </w:numPr>
      <w:jc w:val="left"/>
    </w:pPr>
    <w:rPr>
      <w:rFonts w:asciiTheme="minorHAnsi" w:hAnsiTheme="minorHAnsi"/>
      <w:sz w:val="28"/>
    </w:rPr>
  </w:style>
  <w:style w:type="character" w:customStyle="1" w:styleId="12">
    <w:name w:val="页眉 字符"/>
    <w:basedOn w:val="9"/>
    <w:link w:val="4"/>
    <w:uiPriority w:val="0"/>
    <w:rPr>
      <w:kern w:val="2"/>
      <w:sz w:val="18"/>
      <w:szCs w:val="18"/>
    </w:rPr>
  </w:style>
  <w:style w:type="character" w:customStyle="1" w:styleId="13">
    <w:name w:val="页脚 字符"/>
    <w:basedOn w:val="9"/>
    <w:link w:val="3"/>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12</Pages>
  <Words>266</Words>
  <Characters>1518</Characters>
  <Lines>12</Lines>
  <Paragraphs>3</Paragraphs>
  <TotalTime>0</TotalTime>
  <ScaleCrop>false</ScaleCrop>
  <LinksUpToDate>false</LinksUpToDate>
  <CharactersWithSpaces>1781</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2023-07-13T06:18:00Z</dcterms:created>
  <dc:creator>随我</dc:creator>
  <cp:lastModifiedBy>邦妮妈甜智</cp:lastModifiedBy>
  <dcterms:modified xsi:type="dcterms:W3CDTF">2023-07-13T06:20:12Z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265C9EC2D61049F5A52FD0FBA6ECDFAD_11</vt:lpwstr>
  </property>
</Properties>
</file>