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376B5" w14:textId="274944D5" w:rsidR="00FC3843" w:rsidRDefault="00DA142B">
      <w:pPr>
        <w:widowControl/>
        <w:pBdr>
          <w:bottom w:val="single" w:sz="12" w:space="0" w:color="717171"/>
        </w:pBdr>
        <w:shd w:val="clear" w:color="auto" w:fill="FFFFFF"/>
        <w:spacing w:line="750" w:lineRule="atLeast"/>
        <w:jc w:val="center"/>
        <w:rPr>
          <w:rFonts w:ascii="微软雅黑" w:eastAsia="微软雅黑" w:hAnsi="微软雅黑" w:cs="宋体"/>
          <w:color w:val="000000"/>
          <w:kern w:val="0"/>
          <w:sz w:val="38"/>
          <w:szCs w:val="38"/>
        </w:rPr>
      </w:pPr>
      <w:r>
        <w:rPr>
          <w:rFonts w:ascii="微软雅黑" w:eastAsia="微软雅黑" w:hAnsi="微软雅黑" w:cs="宋体" w:hint="eastAsia"/>
          <w:color w:val="000000"/>
          <w:kern w:val="0"/>
          <w:sz w:val="38"/>
          <w:szCs w:val="38"/>
        </w:rPr>
        <w:t>关于《济南市财政衔接推进乡村振兴补助资金管理办法》的政策解读</w:t>
      </w:r>
    </w:p>
    <w:p w14:paraId="23B7370B" w14:textId="77777777" w:rsidR="00C628D2" w:rsidRDefault="00C628D2">
      <w:pPr>
        <w:widowControl/>
        <w:shd w:val="clear" w:color="auto" w:fill="FFFFFF"/>
        <w:spacing w:line="480" w:lineRule="atLeast"/>
        <w:ind w:firstLine="480"/>
        <w:jc w:val="left"/>
        <w:rPr>
          <w:rFonts w:ascii="黑体" w:eastAsia="黑体" w:hAnsi="黑体"/>
          <w:color w:val="333333"/>
          <w:sz w:val="32"/>
          <w:szCs w:val="32"/>
          <w:shd w:val="clear" w:color="auto" w:fill="FFFFFF"/>
        </w:rPr>
      </w:pPr>
    </w:p>
    <w:p w14:paraId="15455BC8" w14:textId="36D4FB3D" w:rsidR="00FC3843" w:rsidRPr="00FC7858" w:rsidRDefault="00000000">
      <w:pPr>
        <w:widowControl/>
        <w:shd w:val="clear" w:color="auto" w:fill="FFFFFF"/>
        <w:spacing w:line="480" w:lineRule="atLeast"/>
        <w:ind w:firstLine="480"/>
        <w:jc w:val="left"/>
        <w:rPr>
          <w:rFonts w:ascii="黑体" w:eastAsia="黑体" w:hAnsi="黑体"/>
          <w:color w:val="333333"/>
          <w:sz w:val="32"/>
          <w:szCs w:val="32"/>
          <w:shd w:val="clear" w:color="auto" w:fill="FFFFFF"/>
        </w:rPr>
      </w:pPr>
      <w:r w:rsidRPr="00FC7858">
        <w:rPr>
          <w:rFonts w:ascii="黑体" w:eastAsia="黑体" w:hAnsi="黑体" w:hint="eastAsia"/>
          <w:color w:val="333333"/>
          <w:sz w:val="32"/>
          <w:szCs w:val="32"/>
          <w:shd w:val="clear" w:color="auto" w:fill="FFFFFF"/>
        </w:rPr>
        <w:t>一、</w:t>
      </w:r>
      <w:r w:rsidR="005A3968" w:rsidRPr="00FC7858">
        <w:rPr>
          <w:rFonts w:ascii="黑体" w:eastAsia="黑体" w:hAnsi="黑体" w:hint="eastAsia"/>
          <w:color w:val="333333"/>
          <w:sz w:val="32"/>
          <w:szCs w:val="32"/>
          <w:shd w:val="clear" w:color="auto" w:fill="FFFFFF"/>
        </w:rPr>
        <w:t>政策</w:t>
      </w:r>
      <w:r w:rsidRPr="00FC7858">
        <w:rPr>
          <w:rFonts w:ascii="黑体" w:eastAsia="黑体" w:hAnsi="黑体" w:hint="eastAsia"/>
          <w:color w:val="333333"/>
          <w:sz w:val="32"/>
          <w:szCs w:val="32"/>
          <w:shd w:val="clear" w:color="auto" w:fill="FFFFFF"/>
        </w:rPr>
        <w:t>背景</w:t>
      </w:r>
    </w:p>
    <w:p w14:paraId="20DECFE4" w14:textId="77777777" w:rsidR="00FC3843" w:rsidRPr="00FC7858" w:rsidRDefault="00000000">
      <w:pPr>
        <w:ind w:firstLineChars="150" w:firstLine="480"/>
        <w:rPr>
          <w:rFonts w:ascii="仿宋" w:eastAsia="仿宋" w:hAnsi="仿宋" w:cs="宋体"/>
          <w:color w:val="333333"/>
          <w:kern w:val="0"/>
          <w:sz w:val="32"/>
          <w:szCs w:val="32"/>
        </w:rPr>
      </w:pPr>
      <w:r w:rsidRPr="00FC7858">
        <w:rPr>
          <w:rFonts w:ascii="仿宋" w:eastAsia="仿宋" w:hAnsi="仿宋" w:cs="宋体" w:hint="eastAsia"/>
          <w:color w:val="333333"/>
          <w:kern w:val="0"/>
          <w:sz w:val="32"/>
          <w:szCs w:val="32"/>
        </w:rPr>
        <w:t>在全市贫困县全部摘帽、贫困人口全部脱贫的新形势下，原财政专项扶贫资金的用途、支持对象、分配因素、政策目标等，亟需顺应巩固拓展脱贫攻坚成果同乡村振兴有效衔接的任务要求，与时俱进进行调整优化。</w:t>
      </w:r>
    </w:p>
    <w:p w14:paraId="1EDA1534" w14:textId="1F2551AF" w:rsidR="00FC3843" w:rsidRPr="00FC7858" w:rsidRDefault="00000000">
      <w:pPr>
        <w:widowControl/>
        <w:shd w:val="clear" w:color="auto" w:fill="FFFFFF"/>
        <w:spacing w:line="480" w:lineRule="atLeast"/>
        <w:ind w:firstLine="480"/>
        <w:jc w:val="left"/>
        <w:rPr>
          <w:rFonts w:ascii="仿宋" w:eastAsia="仿宋" w:hAnsi="仿宋" w:cs="宋体"/>
          <w:color w:val="333333"/>
          <w:kern w:val="0"/>
          <w:sz w:val="32"/>
          <w:szCs w:val="32"/>
        </w:rPr>
      </w:pPr>
      <w:r w:rsidRPr="00FC7858">
        <w:rPr>
          <w:rFonts w:ascii="仿宋" w:eastAsia="仿宋" w:hAnsi="仿宋" w:cs="宋体" w:hint="eastAsia"/>
          <w:color w:val="333333"/>
          <w:kern w:val="0"/>
          <w:sz w:val="32"/>
          <w:szCs w:val="32"/>
        </w:rPr>
        <w:t>根据中共中央、国务院和省委、省政府关于实现巩固拓展脱贫攻坚成果同乡村振兴有效衔接的精神及《中共济南市委办公厅 济南市人民政府办公厅印发〈关于实现巩固拓展脱贫攻坚成果同乡村振兴有效衔接的若干措施〉的通知》（</w:t>
      </w:r>
      <w:proofErr w:type="gramStart"/>
      <w:r w:rsidRPr="00FC7858">
        <w:rPr>
          <w:rFonts w:ascii="仿宋" w:eastAsia="仿宋" w:hAnsi="仿宋" w:cs="宋体" w:hint="eastAsia"/>
          <w:color w:val="333333"/>
          <w:kern w:val="0"/>
          <w:sz w:val="32"/>
          <w:szCs w:val="32"/>
        </w:rPr>
        <w:t>济办发</w:t>
      </w:r>
      <w:proofErr w:type="gramEnd"/>
      <w:r w:rsidRPr="00FC7858">
        <w:rPr>
          <w:rFonts w:ascii="仿宋" w:eastAsia="仿宋" w:hAnsi="仿宋" w:cs="宋体" w:hint="eastAsia"/>
          <w:color w:val="333333"/>
          <w:kern w:val="0"/>
          <w:sz w:val="32"/>
          <w:szCs w:val="32"/>
        </w:rPr>
        <w:t>﹝2021﹞5号）文件要求，严格落实过渡期内“四个不摘”要求，确保财政支持政策和投入力度保持总体稳定，各级财政预算安排衔接推进乡村振兴补助资金（以下简称衔接资金），用于支持巩固拓展脱贫攻坚成果同乡村振兴有效衔接。</w:t>
      </w:r>
      <w:r w:rsidR="005A3968" w:rsidRPr="00FC7858">
        <w:rPr>
          <w:rFonts w:ascii="仿宋" w:eastAsia="仿宋" w:hAnsi="仿宋" w:cs="宋体" w:hint="eastAsia"/>
          <w:color w:val="333333"/>
          <w:kern w:val="0"/>
          <w:sz w:val="32"/>
          <w:szCs w:val="32"/>
        </w:rPr>
        <w:t>为此，我们研究印发了《济南市财政政衔接推进乡村振兴补助资金管理办法》（以下简称《办法》）。</w:t>
      </w:r>
    </w:p>
    <w:p w14:paraId="73A2944E" w14:textId="6A3290BC" w:rsidR="005A3968" w:rsidRPr="00FC7858" w:rsidRDefault="005A3968">
      <w:pPr>
        <w:widowControl/>
        <w:shd w:val="clear" w:color="auto" w:fill="FFFFFF"/>
        <w:spacing w:line="480" w:lineRule="atLeast"/>
        <w:ind w:firstLine="480"/>
        <w:jc w:val="left"/>
        <w:rPr>
          <w:rFonts w:ascii="黑体" w:eastAsia="黑体" w:hAnsi="黑体"/>
          <w:color w:val="333333"/>
          <w:sz w:val="32"/>
          <w:szCs w:val="32"/>
          <w:shd w:val="clear" w:color="auto" w:fill="FFFFFF"/>
        </w:rPr>
      </w:pPr>
      <w:r w:rsidRPr="00FC7858">
        <w:rPr>
          <w:rFonts w:ascii="Calibri" w:eastAsia="黑体" w:hAnsi="Calibri" w:cs="Calibri"/>
          <w:color w:val="333333"/>
          <w:sz w:val="32"/>
          <w:szCs w:val="32"/>
          <w:shd w:val="clear" w:color="auto" w:fill="FFFFFF"/>
        </w:rPr>
        <w:t> </w:t>
      </w:r>
      <w:r w:rsidRPr="00FC7858">
        <w:rPr>
          <w:rFonts w:ascii="黑体" w:eastAsia="黑体" w:hAnsi="黑体" w:hint="eastAsia"/>
          <w:color w:val="333333"/>
          <w:sz w:val="32"/>
          <w:szCs w:val="32"/>
          <w:shd w:val="clear" w:color="auto" w:fill="FFFFFF"/>
        </w:rPr>
        <w:t>二、决策依据</w:t>
      </w:r>
    </w:p>
    <w:p w14:paraId="2F6C2849" w14:textId="6EBA18A4" w:rsidR="00FC3843" w:rsidRPr="00FC7858" w:rsidRDefault="00000000">
      <w:pPr>
        <w:ind w:firstLineChars="150" w:firstLine="480"/>
        <w:rPr>
          <w:rFonts w:ascii="仿宋" w:eastAsia="仿宋" w:hAnsi="仿宋" w:cs="宋体"/>
          <w:color w:val="333333"/>
          <w:kern w:val="0"/>
          <w:sz w:val="32"/>
          <w:szCs w:val="32"/>
        </w:rPr>
      </w:pPr>
      <w:r w:rsidRPr="00FC7858">
        <w:rPr>
          <w:rFonts w:ascii="仿宋" w:eastAsia="仿宋" w:hAnsi="仿宋" w:cs="宋体" w:hint="eastAsia"/>
          <w:color w:val="333333"/>
          <w:kern w:val="0"/>
          <w:sz w:val="32"/>
          <w:szCs w:val="32"/>
        </w:rPr>
        <w:t>《中华人民共和国预算法》和省财政厅、省乡村振兴局、</w:t>
      </w:r>
      <w:r w:rsidRPr="00FC7858">
        <w:rPr>
          <w:rFonts w:ascii="仿宋" w:eastAsia="仿宋" w:hAnsi="仿宋" w:cs="宋体" w:hint="eastAsia"/>
          <w:color w:val="333333"/>
          <w:kern w:val="0"/>
          <w:sz w:val="32"/>
          <w:szCs w:val="32"/>
        </w:rPr>
        <w:lastRenderedPageBreak/>
        <w:t>省发展改革委、省民委、省农业农村厅《关于印发&lt;山东省财政衔接推进乡村振兴补助资金管理办法&gt;的通知》（</w:t>
      </w:r>
      <w:proofErr w:type="gramStart"/>
      <w:r w:rsidRPr="00FC7858">
        <w:rPr>
          <w:rFonts w:ascii="仿宋" w:eastAsia="仿宋" w:hAnsi="仿宋" w:cs="宋体" w:hint="eastAsia"/>
          <w:color w:val="333333"/>
          <w:kern w:val="0"/>
          <w:sz w:val="32"/>
          <w:szCs w:val="32"/>
        </w:rPr>
        <w:t>鲁财农</w:t>
      </w:r>
      <w:proofErr w:type="gramEnd"/>
      <w:r w:rsidRPr="00FC7858">
        <w:rPr>
          <w:rFonts w:ascii="仿宋" w:eastAsia="仿宋" w:hAnsi="仿宋" w:cs="宋体" w:hint="eastAsia"/>
          <w:color w:val="333333"/>
          <w:kern w:val="0"/>
          <w:sz w:val="32"/>
          <w:szCs w:val="32"/>
        </w:rPr>
        <w:t>〔2021〕25号）。</w:t>
      </w:r>
    </w:p>
    <w:p w14:paraId="6AA11D88" w14:textId="55B9D7B0" w:rsidR="003F4FFC" w:rsidRPr="00FC7858" w:rsidRDefault="003F4FFC" w:rsidP="003F4FFC">
      <w:pPr>
        <w:widowControl/>
        <w:shd w:val="clear" w:color="auto" w:fill="FFFFFF"/>
        <w:spacing w:line="480" w:lineRule="atLeast"/>
        <w:ind w:firstLine="480"/>
        <w:jc w:val="left"/>
        <w:rPr>
          <w:rFonts w:ascii="黑体" w:eastAsia="黑体" w:hAnsi="黑体"/>
          <w:color w:val="333333"/>
          <w:sz w:val="32"/>
          <w:szCs w:val="32"/>
          <w:shd w:val="clear" w:color="auto" w:fill="FFFFFF"/>
        </w:rPr>
      </w:pPr>
      <w:r w:rsidRPr="00FC7858">
        <w:rPr>
          <w:rFonts w:ascii="黑体" w:eastAsia="黑体" w:hAnsi="黑体" w:hint="eastAsia"/>
          <w:color w:val="333333"/>
          <w:sz w:val="32"/>
          <w:szCs w:val="32"/>
          <w:shd w:val="clear" w:color="auto" w:fill="FFFFFF"/>
        </w:rPr>
        <w:t>三、出台目的</w:t>
      </w:r>
    </w:p>
    <w:p w14:paraId="3887B0D1" w14:textId="04708CB0" w:rsidR="003F4FFC" w:rsidRPr="00FC7858" w:rsidRDefault="003F4FFC" w:rsidP="00585FD8">
      <w:pPr>
        <w:ind w:firstLineChars="150" w:firstLine="480"/>
        <w:rPr>
          <w:rFonts w:ascii="仿宋" w:eastAsia="仿宋" w:hAnsi="仿宋" w:cs="宋体"/>
          <w:color w:val="333333"/>
          <w:kern w:val="0"/>
          <w:sz w:val="32"/>
          <w:szCs w:val="32"/>
        </w:rPr>
      </w:pPr>
      <w:r w:rsidRPr="00FC7858">
        <w:rPr>
          <w:rFonts w:ascii="仿宋" w:eastAsia="仿宋" w:hAnsi="仿宋" w:cs="宋体"/>
          <w:color w:val="333333"/>
          <w:kern w:val="0"/>
          <w:sz w:val="32"/>
          <w:szCs w:val="32"/>
        </w:rPr>
        <w:t>出台</w:t>
      </w:r>
      <w:r w:rsidRPr="00FC7858">
        <w:rPr>
          <w:rFonts w:ascii="仿宋" w:eastAsia="仿宋" w:hAnsi="仿宋" w:cs="宋体" w:hint="eastAsia"/>
          <w:color w:val="333333"/>
          <w:kern w:val="0"/>
          <w:sz w:val="32"/>
          <w:szCs w:val="32"/>
        </w:rPr>
        <w:t>的主要目的是</w:t>
      </w:r>
      <w:r w:rsidR="00FC7858" w:rsidRPr="00FC7858">
        <w:rPr>
          <w:rFonts w:ascii="仿宋" w:eastAsia="仿宋" w:hAnsi="仿宋" w:cs="宋体" w:hint="eastAsia"/>
          <w:color w:val="333333"/>
          <w:kern w:val="0"/>
          <w:sz w:val="32"/>
          <w:szCs w:val="32"/>
        </w:rPr>
        <w:t>规范和加强过渡期我市衔接推进乡村振兴补助资金管理，提高资金使用效益，为</w:t>
      </w:r>
      <w:r w:rsidRPr="00FC7858">
        <w:rPr>
          <w:rFonts w:ascii="仿宋" w:eastAsia="仿宋" w:hAnsi="仿宋" w:cs="宋体"/>
          <w:color w:val="333333"/>
          <w:kern w:val="0"/>
          <w:sz w:val="32"/>
          <w:szCs w:val="32"/>
        </w:rPr>
        <w:t>集中财力巩固脱贫攻坚成果同乡村振兴有效衔接奠定坚实的基础。</w:t>
      </w:r>
    </w:p>
    <w:p w14:paraId="63523B6E" w14:textId="0AA97867" w:rsidR="00FC3843" w:rsidRPr="00FC7858" w:rsidRDefault="00585FD8">
      <w:pPr>
        <w:widowControl/>
        <w:shd w:val="clear" w:color="auto" w:fill="FFFFFF"/>
        <w:spacing w:line="480" w:lineRule="atLeast"/>
        <w:ind w:firstLine="480"/>
        <w:jc w:val="left"/>
        <w:rPr>
          <w:rFonts w:ascii="黑体" w:eastAsia="黑体" w:hAnsi="黑体"/>
          <w:color w:val="333333"/>
          <w:sz w:val="32"/>
          <w:szCs w:val="32"/>
          <w:shd w:val="clear" w:color="auto" w:fill="FFFFFF"/>
        </w:rPr>
      </w:pPr>
      <w:r w:rsidRPr="00FC7858">
        <w:rPr>
          <w:rFonts w:ascii="黑体" w:eastAsia="黑体" w:hAnsi="黑体" w:hint="eastAsia"/>
          <w:color w:val="333333"/>
          <w:sz w:val="32"/>
          <w:szCs w:val="32"/>
          <w:shd w:val="clear" w:color="auto" w:fill="FFFFFF"/>
        </w:rPr>
        <w:t>四、重要举措</w:t>
      </w:r>
    </w:p>
    <w:p w14:paraId="267C7078" w14:textId="77777777" w:rsidR="00585FD8" w:rsidRPr="00FC7858" w:rsidRDefault="00000000">
      <w:pPr>
        <w:widowControl/>
        <w:shd w:val="clear" w:color="auto" w:fill="FFFFFF"/>
        <w:spacing w:line="480" w:lineRule="atLeast"/>
        <w:ind w:firstLine="480"/>
        <w:jc w:val="left"/>
        <w:rPr>
          <w:rFonts w:ascii="仿宋" w:eastAsia="仿宋" w:hAnsi="仿宋" w:cs="宋体"/>
          <w:color w:val="333333"/>
          <w:kern w:val="0"/>
          <w:sz w:val="32"/>
          <w:szCs w:val="32"/>
        </w:rPr>
      </w:pPr>
      <w:r w:rsidRPr="00FC7858">
        <w:rPr>
          <w:rFonts w:ascii="仿宋" w:eastAsia="仿宋" w:hAnsi="仿宋" w:cs="宋体" w:hint="eastAsia"/>
          <w:color w:val="333333"/>
          <w:kern w:val="0"/>
          <w:sz w:val="32"/>
          <w:szCs w:val="32"/>
        </w:rPr>
        <w:t>《办法》包括正文和附件两部分，正文共十条。</w:t>
      </w:r>
    </w:p>
    <w:p w14:paraId="57BCD959" w14:textId="62E7B554" w:rsidR="00FC3843" w:rsidRPr="00FC7858" w:rsidRDefault="00000000" w:rsidP="00FC7858">
      <w:pPr>
        <w:widowControl/>
        <w:shd w:val="clear" w:color="auto" w:fill="FFFFFF"/>
        <w:spacing w:line="480" w:lineRule="atLeast"/>
        <w:ind w:firstLine="480"/>
        <w:jc w:val="left"/>
        <w:rPr>
          <w:rFonts w:ascii="仿宋" w:eastAsia="仿宋" w:hAnsi="仿宋" w:cs="宋体"/>
          <w:color w:val="333333"/>
          <w:kern w:val="0"/>
          <w:sz w:val="32"/>
          <w:szCs w:val="32"/>
        </w:rPr>
      </w:pPr>
      <w:r w:rsidRPr="00FC7858">
        <w:rPr>
          <w:rFonts w:ascii="仿宋" w:eastAsia="仿宋" w:hAnsi="仿宋" w:cs="宋体" w:hint="eastAsia"/>
          <w:color w:val="333333"/>
          <w:kern w:val="0"/>
          <w:sz w:val="32"/>
          <w:szCs w:val="32"/>
        </w:rPr>
        <w:t>第一条明确了《办法》制定的政策依据。第二条明确了衔接资金的定义，资金名称为“衔接推进乡村振兴补助资金”（简称衔接资金），突出“衔接推进乡村振兴”，体现巩固拓展脱贫攻坚成果要与乡村振兴衔接的政策导向和过渡期的特征。第三条明确了衔接资金的使用范围和用途，围绕巩固衔接需要，在与其他渠道财政资金不冲突和相区别的前提下，与时俱进拓展了资金用途。第四条明确了衔接资金分配的因素和权重，综合考虑过渡期的主要任务和特点，按照客观公正、简便易行的原则，确定因素和权重，并实行分任务分类测算，各因素相互独立，能够较好反映不同任务特点。第五六条明确了衔接资金审批权限及项目管理要求，衔接资金项目审批权限下放到县级，强化县级管理责任。第七条明确了衔接资金的分配程序，行</w:t>
      </w:r>
      <w:r w:rsidRPr="00FC7858">
        <w:rPr>
          <w:rFonts w:ascii="仿宋" w:eastAsia="仿宋" w:hAnsi="仿宋" w:cs="宋体" w:hint="eastAsia"/>
          <w:color w:val="333333"/>
          <w:kern w:val="0"/>
          <w:sz w:val="32"/>
          <w:szCs w:val="32"/>
        </w:rPr>
        <w:lastRenderedPageBreak/>
        <w:t>业主管部门提出当年衔接资金分配建议方案报送财政部门，财政部门根据预算管理要求、年度预算安排，结合行业主管部门资金分配建议方案研究确定分配方案。第八条明确了违反本《办法》的法律责任。第九条明确了市县落实要求，市县本级衔接资金投入规模要保持稳定。第十条明确了《办法》的施行日期和废止情况。</w:t>
      </w:r>
    </w:p>
    <w:p w14:paraId="02EB20E6" w14:textId="309050A3" w:rsidR="00FC3843" w:rsidRPr="00FC7858" w:rsidRDefault="00FC7858">
      <w:pPr>
        <w:widowControl/>
        <w:shd w:val="clear" w:color="auto" w:fill="FFFFFF"/>
        <w:spacing w:line="480" w:lineRule="atLeast"/>
        <w:ind w:firstLine="480"/>
        <w:jc w:val="left"/>
        <w:rPr>
          <w:rFonts w:ascii="黑体" w:eastAsia="黑体" w:hAnsi="黑体"/>
          <w:color w:val="333333"/>
          <w:sz w:val="32"/>
          <w:szCs w:val="32"/>
          <w:shd w:val="clear" w:color="auto" w:fill="FFFFFF"/>
        </w:rPr>
      </w:pPr>
      <w:r w:rsidRPr="00FC7858">
        <w:rPr>
          <w:rFonts w:ascii="黑体" w:eastAsia="黑体" w:hAnsi="黑体" w:hint="eastAsia"/>
          <w:color w:val="333333"/>
          <w:sz w:val="32"/>
          <w:szCs w:val="32"/>
          <w:shd w:val="clear" w:color="auto" w:fill="FFFFFF"/>
        </w:rPr>
        <w:t>五、关于日期的说明</w:t>
      </w:r>
    </w:p>
    <w:p w14:paraId="1159CACF" w14:textId="77777777" w:rsidR="00FC3843" w:rsidRPr="00FC7858" w:rsidRDefault="00000000">
      <w:pPr>
        <w:widowControl/>
        <w:shd w:val="clear" w:color="auto" w:fill="FFFFFF"/>
        <w:spacing w:line="480" w:lineRule="atLeast"/>
        <w:ind w:firstLine="480"/>
        <w:jc w:val="left"/>
        <w:rPr>
          <w:rFonts w:ascii="仿宋" w:eastAsia="仿宋" w:hAnsi="仿宋" w:cs="宋体"/>
          <w:color w:val="333333"/>
          <w:kern w:val="0"/>
          <w:sz w:val="32"/>
          <w:szCs w:val="32"/>
        </w:rPr>
      </w:pPr>
      <w:r w:rsidRPr="00FC7858">
        <w:rPr>
          <w:rFonts w:ascii="Calibri" w:eastAsia="仿宋" w:hAnsi="Calibri" w:cs="Calibri"/>
          <w:color w:val="333333"/>
          <w:kern w:val="0"/>
          <w:sz w:val="32"/>
          <w:szCs w:val="32"/>
        </w:rPr>
        <w:t> </w:t>
      </w:r>
      <w:r w:rsidRPr="00FC7858">
        <w:rPr>
          <w:rFonts w:ascii="仿宋" w:eastAsia="仿宋" w:hAnsi="仿宋" w:cs="宋体" w:hint="eastAsia"/>
          <w:color w:val="333333"/>
          <w:kern w:val="0"/>
          <w:sz w:val="32"/>
          <w:szCs w:val="32"/>
        </w:rPr>
        <w:t>本办法自2021年7月15日起施行，有效期至2025年12月31日。济南市财政局、济南市扶贫开发领导小组办公室、济南市民族宗教事务局、济南市农业局、济南市林业和城乡</w:t>
      </w:r>
      <w:proofErr w:type="gramStart"/>
      <w:r w:rsidRPr="00FC7858">
        <w:rPr>
          <w:rFonts w:ascii="仿宋" w:eastAsia="仿宋" w:hAnsi="仿宋" w:cs="宋体" w:hint="eastAsia"/>
          <w:color w:val="333333"/>
          <w:kern w:val="0"/>
          <w:sz w:val="32"/>
          <w:szCs w:val="32"/>
        </w:rPr>
        <w:t>绿化局</w:t>
      </w:r>
      <w:proofErr w:type="gramEnd"/>
      <w:r w:rsidRPr="00FC7858">
        <w:rPr>
          <w:rFonts w:ascii="仿宋" w:eastAsia="仿宋" w:hAnsi="仿宋" w:cs="宋体" w:hint="eastAsia"/>
          <w:color w:val="333333"/>
          <w:kern w:val="0"/>
          <w:sz w:val="32"/>
          <w:szCs w:val="32"/>
        </w:rPr>
        <w:t>《关于印发〈济南市财政专项扶贫资金和项目实施细则〉的通知》（</w:t>
      </w:r>
      <w:proofErr w:type="gramStart"/>
      <w:r w:rsidRPr="00FC7858">
        <w:rPr>
          <w:rFonts w:ascii="仿宋" w:eastAsia="仿宋" w:hAnsi="仿宋" w:cs="宋体" w:hint="eastAsia"/>
          <w:color w:val="333333"/>
          <w:kern w:val="0"/>
          <w:sz w:val="32"/>
          <w:szCs w:val="32"/>
        </w:rPr>
        <w:t>济财农</w:t>
      </w:r>
      <w:proofErr w:type="gramEnd"/>
      <w:r w:rsidRPr="00FC7858">
        <w:rPr>
          <w:rFonts w:ascii="仿宋" w:eastAsia="仿宋" w:hAnsi="仿宋" w:cs="宋体" w:hint="eastAsia"/>
          <w:color w:val="333333"/>
          <w:kern w:val="0"/>
          <w:sz w:val="32"/>
          <w:szCs w:val="32"/>
        </w:rPr>
        <w:t>〔2018〕3号）同时废止。</w:t>
      </w:r>
    </w:p>
    <w:p w14:paraId="60091978" w14:textId="20C537BE" w:rsidR="00FC7858" w:rsidRDefault="00FC7858" w:rsidP="004841ED">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FC7858">
        <w:rPr>
          <w:rFonts w:ascii="仿宋" w:eastAsia="仿宋" w:hAnsi="仿宋" w:cs="宋体" w:hint="eastAsia"/>
          <w:color w:val="333333"/>
          <w:kern w:val="0"/>
          <w:sz w:val="32"/>
          <w:szCs w:val="32"/>
        </w:rPr>
        <w:t xml:space="preserve">解读机构：济南市财政局农业农村处 </w:t>
      </w:r>
      <w:r w:rsidRPr="00FC7858">
        <w:rPr>
          <w:rFonts w:ascii="仿宋" w:eastAsia="仿宋" w:hAnsi="仿宋" w:cs="宋体"/>
          <w:color w:val="333333"/>
          <w:kern w:val="0"/>
          <w:sz w:val="32"/>
          <w:szCs w:val="32"/>
        </w:rPr>
        <w:t xml:space="preserve">   </w:t>
      </w:r>
    </w:p>
    <w:p w14:paraId="3B96C2B9" w14:textId="76C0DDC7" w:rsidR="00FC7858" w:rsidRPr="00FC7858" w:rsidRDefault="00FC7858" w:rsidP="004841ED">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FC7858">
        <w:rPr>
          <w:rFonts w:ascii="仿宋" w:eastAsia="仿宋" w:hAnsi="仿宋" w:cs="宋体" w:hint="eastAsia"/>
          <w:color w:val="333333"/>
          <w:kern w:val="0"/>
          <w:sz w:val="32"/>
          <w:szCs w:val="32"/>
        </w:rPr>
        <w:t>咨询电话：0531-51703793</w:t>
      </w:r>
    </w:p>
    <w:p w14:paraId="6170B65B" w14:textId="77777777" w:rsidR="00FC7858" w:rsidRPr="00FC7858" w:rsidRDefault="00FC7858">
      <w:pPr>
        <w:widowControl/>
        <w:shd w:val="clear" w:color="auto" w:fill="FFFFFF"/>
        <w:spacing w:line="480" w:lineRule="atLeast"/>
        <w:ind w:firstLine="480"/>
        <w:jc w:val="left"/>
        <w:rPr>
          <w:rFonts w:ascii="微软雅黑" w:eastAsia="微软雅黑" w:hAnsi="微软雅黑" w:cs="宋体"/>
          <w:color w:val="333333"/>
          <w:kern w:val="0"/>
          <w:sz w:val="23"/>
          <w:szCs w:val="23"/>
        </w:rPr>
      </w:pPr>
    </w:p>
    <w:p w14:paraId="3CC623F8" w14:textId="476D78B9" w:rsidR="00FC3843" w:rsidRDefault="00FC3843" w:rsidP="00FC7858">
      <w:pPr>
        <w:widowControl/>
        <w:shd w:val="clear" w:color="auto" w:fill="FFFFFF"/>
        <w:spacing w:line="480" w:lineRule="atLeast"/>
        <w:ind w:firstLine="480"/>
        <w:jc w:val="left"/>
        <w:rPr>
          <w:rFonts w:ascii="微软雅黑" w:eastAsia="微软雅黑" w:hAnsi="微软雅黑" w:cs="宋体"/>
          <w:color w:val="333333"/>
          <w:kern w:val="0"/>
          <w:sz w:val="23"/>
          <w:szCs w:val="23"/>
        </w:rPr>
      </w:pPr>
    </w:p>
    <w:sectPr w:rsidR="00FC38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35"/>
    <w:rsid w:val="000230A1"/>
    <w:rsid w:val="001362C5"/>
    <w:rsid w:val="00204C09"/>
    <w:rsid w:val="00245E26"/>
    <w:rsid w:val="00246943"/>
    <w:rsid w:val="002A01EE"/>
    <w:rsid w:val="0033412A"/>
    <w:rsid w:val="00374BA1"/>
    <w:rsid w:val="00396F5B"/>
    <w:rsid w:val="003C1A63"/>
    <w:rsid w:val="003D0CC4"/>
    <w:rsid w:val="003D28FF"/>
    <w:rsid w:val="003F4FFC"/>
    <w:rsid w:val="00423ABD"/>
    <w:rsid w:val="004841ED"/>
    <w:rsid w:val="004E40CF"/>
    <w:rsid w:val="00516FF0"/>
    <w:rsid w:val="0055271E"/>
    <w:rsid w:val="0057697F"/>
    <w:rsid w:val="00585FD8"/>
    <w:rsid w:val="005876F6"/>
    <w:rsid w:val="005A3968"/>
    <w:rsid w:val="005A3F17"/>
    <w:rsid w:val="005E508E"/>
    <w:rsid w:val="00684350"/>
    <w:rsid w:val="006A0AE1"/>
    <w:rsid w:val="0082091E"/>
    <w:rsid w:val="008351EF"/>
    <w:rsid w:val="008D3AFC"/>
    <w:rsid w:val="008E1CFF"/>
    <w:rsid w:val="0092248E"/>
    <w:rsid w:val="00927316"/>
    <w:rsid w:val="009323DD"/>
    <w:rsid w:val="00942FAD"/>
    <w:rsid w:val="00A43D08"/>
    <w:rsid w:val="00A54851"/>
    <w:rsid w:val="00A928F3"/>
    <w:rsid w:val="00B1220D"/>
    <w:rsid w:val="00BB09F0"/>
    <w:rsid w:val="00BC22EA"/>
    <w:rsid w:val="00C36A7A"/>
    <w:rsid w:val="00C628D2"/>
    <w:rsid w:val="00CA4235"/>
    <w:rsid w:val="00CC40C3"/>
    <w:rsid w:val="00D100F1"/>
    <w:rsid w:val="00D51A8E"/>
    <w:rsid w:val="00D715AA"/>
    <w:rsid w:val="00DA142B"/>
    <w:rsid w:val="00DB2364"/>
    <w:rsid w:val="00DD09A7"/>
    <w:rsid w:val="00EF073D"/>
    <w:rsid w:val="00F039D5"/>
    <w:rsid w:val="00F22C89"/>
    <w:rsid w:val="00F717F2"/>
    <w:rsid w:val="00F9491B"/>
    <w:rsid w:val="00FC3843"/>
    <w:rsid w:val="00FC7858"/>
    <w:rsid w:val="00FD4988"/>
    <w:rsid w:val="00FE3C53"/>
    <w:rsid w:val="5CB54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FA73"/>
  <w15:docId w15:val="{3A89E0BD-2578-4046-9B2B-7C6D521B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175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608C3-E283-434F-AC45-0DDD6E7AC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186</Words>
  <Characters>1064</Characters>
  <Application>Microsoft Office Word</Application>
  <DocSecurity>0</DocSecurity>
  <Lines>8</Lines>
  <Paragraphs>2</Paragraphs>
  <ScaleCrop>false</ScaleCrop>
  <Company>济南市人民政府</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li'lin</cp:lastModifiedBy>
  <cp:revision>3</cp:revision>
  <cp:lastPrinted>2021-08-04T08:02:00Z</cp:lastPrinted>
  <dcterms:created xsi:type="dcterms:W3CDTF">2023-11-24T03:30:00Z</dcterms:created>
  <dcterms:modified xsi:type="dcterms:W3CDTF">2023-11-27T06:51:00Z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CF673232E4D84789B96F1ABECE5993F0</vt:lpwstr>
  </property>
</Properties>
</file>